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3A39" w:rsidRDefault="003B638A">
      <w:pPr>
        <w:jc w:val="center"/>
        <w:rPr>
          <w:rFonts w:ascii="Calibri" w:eastAsia="Calibri" w:hAnsi="Calibri" w:cs="Calibri"/>
          <w:b/>
          <w:sz w:val="20"/>
          <w:szCs w:val="20"/>
        </w:rPr>
      </w:pPr>
      <w:bookmarkStart w:id="0" w:name="_GoBack"/>
      <w:bookmarkEnd w:id="0"/>
      <w:r>
        <w:rPr>
          <w:rFonts w:ascii="Calibri" w:eastAsia="Calibri" w:hAnsi="Calibri" w:cs="Calibri"/>
          <w:b/>
          <w:sz w:val="20"/>
          <w:szCs w:val="20"/>
        </w:rPr>
        <w:t xml:space="preserve">PROYECTO DE ACUERDO N.º </w:t>
      </w:r>
      <w:r w:rsidR="00961D95">
        <w:rPr>
          <w:rFonts w:ascii="Calibri" w:eastAsia="Calibri" w:hAnsi="Calibri" w:cs="Calibri"/>
          <w:b/>
          <w:sz w:val="20"/>
          <w:szCs w:val="20"/>
        </w:rPr>
        <w:t xml:space="preserve"> </w:t>
      </w:r>
      <w:r w:rsidR="00A56392">
        <w:rPr>
          <w:rFonts w:ascii="Calibri" w:eastAsia="Calibri" w:hAnsi="Calibri" w:cs="Calibri"/>
          <w:b/>
          <w:sz w:val="20"/>
          <w:szCs w:val="20"/>
        </w:rPr>
        <w:t>352</w:t>
      </w:r>
      <w:r w:rsidR="00961D95">
        <w:rPr>
          <w:rFonts w:ascii="Calibri" w:eastAsia="Calibri" w:hAnsi="Calibri" w:cs="Calibri"/>
          <w:b/>
          <w:sz w:val="20"/>
          <w:szCs w:val="20"/>
        </w:rPr>
        <w:t xml:space="preserve"> </w:t>
      </w:r>
      <w:r w:rsidR="009C14FB">
        <w:rPr>
          <w:rFonts w:ascii="Calibri" w:eastAsia="Calibri" w:hAnsi="Calibri" w:cs="Calibri"/>
          <w:b/>
          <w:sz w:val="20"/>
          <w:szCs w:val="20"/>
        </w:rPr>
        <w:t xml:space="preserve">DE </w:t>
      </w:r>
      <w:r>
        <w:rPr>
          <w:rFonts w:ascii="Calibri" w:eastAsia="Calibri" w:hAnsi="Calibri" w:cs="Calibri"/>
          <w:b/>
          <w:sz w:val="20"/>
          <w:szCs w:val="20"/>
        </w:rPr>
        <w:t>2025</w:t>
      </w:r>
    </w:p>
    <w:p w:rsidR="002F3A39" w:rsidRDefault="002F3A39">
      <w:pPr>
        <w:jc w:val="center"/>
        <w:rPr>
          <w:rFonts w:ascii="Calibri" w:eastAsia="Calibri" w:hAnsi="Calibri" w:cs="Calibri"/>
          <w:b/>
          <w:sz w:val="20"/>
          <w:szCs w:val="20"/>
        </w:rPr>
      </w:pPr>
    </w:p>
    <w:p w:rsidR="002F3A39" w:rsidRDefault="003B638A">
      <w:pPr>
        <w:jc w:val="center"/>
        <w:rPr>
          <w:rFonts w:ascii="Calibri" w:eastAsia="Calibri" w:hAnsi="Calibri" w:cs="Calibri"/>
          <w:b/>
          <w:sz w:val="20"/>
          <w:szCs w:val="20"/>
        </w:rPr>
      </w:pPr>
      <w:r>
        <w:rPr>
          <w:rFonts w:ascii="Calibri" w:eastAsia="Calibri" w:hAnsi="Calibri" w:cs="Calibri"/>
          <w:b/>
          <w:i/>
          <w:sz w:val="20"/>
          <w:szCs w:val="20"/>
        </w:rPr>
        <w:t>POR MEDIO DEL CUAL SE DICTAN LINEAMIENTOS PARA FORTALECER LA PROMOCIÓN Y PREVENCIÓN DE LA SALUD MENTAL EN LOS NIÑOS, ADOLESCENTES Y JÓVENES EN LAS INSTITUCIONES EDUCATIVAS DEL ÁMBITO ESCOLAR DEL DISTRITO CAPITAL Y SE DICTAN OTRAS DISPOSICIONES</w:t>
      </w:r>
    </w:p>
    <w:p w:rsidR="002F3A39" w:rsidRDefault="002F3A39">
      <w:pPr>
        <w:jc w:val="both"/>
        <w:rPr>
          <w:rFonts w:ascii="Calibri" w:eastAsia="Calibri" w:hAnsi="Calibri" w:cs="Calibri"/>
          <w:b/>
          <w:sz w:val="20"/>
          <w:szCs w:val="20"/>
        </w:rPr>
      </w:pPr>
    </w:p>
    <w:p w:rsidR="002F3A39" w:rsidRDefault="003B638A">
      <w:pPr>
        <w:jc w:val="both"/>
        <w:rPr>
          <w:rFonts w:ascii="Calibri" w:eastAsia="Calibri" w:hAnsi="Calibri" w:cs="Calibri"/>
          <w:b/>
          <w:sz w:val="20"/>
          <w:szCs w:val="20"/>
        </w:rPr>
      </w:pPr>
      <w:r>
        <w:rPr>
          <w:rFonts w:ascii="Calibri" w:eastAsia="Calibri" w:hAnsi="Calibri" w:cs="Calibri"/>
          <w:b/>
          <w:sz w:val="20"/>
          <w:szCs w:val="20"/>
        </w:rPr>
        <w:t>1. OBJETO DEL PROYECTO DE ACUERDO</w:t>
      </w:r>
    </w:p>
    <w:p w:rsidR="002F3A39" w:rsidRDefault="002F3A39">
      <w:pPr>
        <w:jc w:val="both"/>
        <w:rPr>
          <w:rFonts w:ascii="Calibri" w:eastAsia="Calibri" w:hAnsi="Calibri" w:cs="Calibri"/>
          <w:sz w:val="20"/>
          <w:szCs w:val="20"/>
        </w:rPr>
      </w:pPr>
    </w:p>
    <w:p w:rsidR="002F3A39" w:rsidRDefault="003B638A">
      <w:pPr>
        <w:jc w:val="both"/>
        <w:rPr>
          <w:rFonts w:ascii="Calibri" w:eastAsia="Calibri" w:hAnsi="Calibri" w:cs="Calibri"/>
          <w:sz w:val="20"/>
          <w:szCs w:val="20"/>
        </w:rPr>
      </w:pPr>
      <w:bookmarkStart w:id="1" w:name="_heading=h.gjdgxs" w:colFirst="0" w:colLast="0"/>
      <w:bookmarkEnd w:id="1"/>
      <w:r>
        <w:rPr>
          <w:rFonts w:ascii="Calibri" w:eastAsia="Calibri" w:hAnsi="Calibri" w:cs="Calibri"/>
          <w:sz w:val="20"/>
          <w:szCs w:val="20"/>
        </w:rPr>
        <w:t xml:space="preserve">El presente Proyecto de Acuerdo tiene por objeto dictar lineamientos para fortalecer la promoción y prevención de la salud mental en los niños, adolescentes y jóvenes en las instituciones educativas del Distrito capital del ámbito escolar tendientes a mejorar las habilidades psicosociales individuales y colectivas en pro de la salud mental, la gestión de entornos escolares protectores y la articulación con los servicios de salud mental. </w:t>
      </w:r>
    </w:p>
    <w:p w:rsidR="002F3A39" w:rsidRDefault="002F3A39">
      <w:pPr>
        <w:jc w:val="both"/>
        <w:rPr>
          <w:rFonts w:ascii="Calibri" w:eastAsia="Calibri" w:hAnsi="Calibri" w:cs="Calibri"/>
          <w:b/>
          <w:sz w:val="20"/>
          <w:szCs w:val="20"/>
        </w:rPr>
      </w:pPr>
    </w:p>
    <w:p w:rsidR="002F3A39" w:rsidRDefault="003B638A">
      <w:pPr>
        <w:jc w:val="both"/>
        <w:rPr>
          <w:rFonts w:ascii="Calibri" w:eastAsia="Calibri" w:hAnsi="Calibri" w:cs="Calibri"/>
          <w:b/>
          <w:sz w:val="20"/>
          <w:szCs w:val="20"/>
        </w:rPr>
      </w:pPr>
      <w:r>
        <w:rPr>
          <w:rFonts w:ascii="Calibri" w:eastAsia="Calibri" w:hAnsi="Calibri" w:cs="Calibri"/>
          <w:b/>
          <w:sz w:val="20"/>
          <w:szCs w:val="20"/>
        </w:rPr>
        <w:t>3. JUSTIFICACIÓN DEL PROYECTO</w:t>
      </w:r>
    </w:p>
    <w:p w:rsidR="002F3A39" w:rsidRDefault="002F3A39">
      <w:pPr>
        <w:jc w:val="both"/>
        <w:rPr>
          <w:rFonts w:ascii="Calibri" w:eastAsia="Calibri" w:hAnsi="Calibri" w:cs="Calibri"/>
          <w:b/>
          <w:sz w:val="20"/>
          <w:szCs w:val="20"/>
        </w:rPr>
      </w:pPr>
    </w:p>
    <w:p w:rsidR="002F3A39" w:rsidRDefault="003B638A">
      <w:pPr>
        <w:jc w:val="both"/>
        <w:rPr>
          <w:rFonts w:ascii="Calibri" w:eastAsia="Calibri" w:hAnsi="Calibri" w:cs="Calibri"/>
          <w:b/>
          <w:sz w:val="20"/>
          <w:szCs w:val="20"/>
        </w:rPr>
      </w:pPr>
      <w:r>
        <w:rPr>
          <w:rFonts w:ascii="Calibri" w:eastAsia="Calibri" w:hAnsi="Calibri" w:cs="Calibri"/>
          <w:b/>
          <w:sz w:val="20"/>
          <w:szCs w:val="20"/>
        </w:rPr>
        <w:t>3.1. Importancia de salud mental en el ámbito escolar en los niños, adolescentes y jóvenes</w:t>
      </w:r>
    </w:p>
    <w:p w:rsidR="002F3A39" w:rsidRDefault="003B638A">
      <w:pPr>
        <w:spacing w:after="150"/>
        <w:jc w:val="both"/>
        <w:rPr>
          <w:rFonts w:ascii="Calibri" w:eastAsia="Calibri" w:hAnsi="Calibri" w:cs="Calibri"/>
          <w:sz w:val="20"/>
          <w:szCs w:val="20"/>
        </w:rPr>
      </w:pPr>
      <w:r>
        <w:rPr>
          <w:rFonts w:ascii="Calibri" w:eastAsia="Calibri" w:hAnsi="Calibri" w:cs="Calibri"/>
          <w:sz w:val="20"/>
          <w:szCs w:val="20"/>
        </w:rPr>
        <w:t>La salud mental de los niños, adolescentes y jóvenes es un problema creciente de salud pública en todo el mundo. Según la Organización Mundial de la Salud OMS (2015), entre el 10% y el 20% de los jóvenes viven con trastornos mentales y de conducta;</w:t>
      </w:r>
      <w:r>
        <w:rPr>
          <w:rFonts w:ascii="Calibri" w:eastAsia="Calibri" w:hAnsi="Calibri" w:cs="Calibri"/>
          <w:b/>
          <w:sz w:val="20"/>
          <w:szCs w:val="20"/>
        </w:rPr>
        <w:t xml:space="preserve"> un tipo de trastorno que supone el 13% de la carga mundial de morbilidad en ese grupo etario</w:t>
      </w:r>
      <w:r>
        <w:rPr>
          <w:rFonts w:ascii="Calibri" w:eastAsia="Calibri" w:hAnsi="Calibri" w:cs="Calibri"/>
          <w:sz w:val="20"/>
          <w:szCs w:val="20"/>
        </w:rPr>
        <w:t xml:space="preserve"> y el 50% de todas las personas que desarrollan trastornos mentales tienen sus primeros síntomas a la edad de 14 años y el 75% han tenido sus primeros síntomas a los 20 años</w:t>
      </w:r>
      <w:r>
        <w:rPr>
          <w:rFonts w:ascii="Calibri" w:eastAsia="Calibri" w:hAnsi="Calibri" w:cs="Calibri"/>
          <w:sz w:val="20"/>
          <w:szCs w:val="20"/>
          <w:vertAlign w:val="superscript"/>
        </w:rPr>
        <w:footnoteReference w:id="1"/>
      </w:r>
      <w:r>
        <w:rPr>
          <w:rFonts w:ascii="Calibri" w:eastAsia="Calibri" w:hAnsi="Calibri" w:cs="Calibri"/>
          <w:sz w:val="20"/>
          <w:szCs w:val="20"/>
        </w:rPr>
        <w:t>.</w:t>
      </w:r>
    </w:p>
    <w:p w:rsidR="002F3A39" w:rsidRDefault="003B638A">
      <w:pPr>
        <w:spacing w:before="280" w:after="75"/>
        <w:jc w:val="both"/>
        <w:rPr>
          <w:rFonts w:ascii="Calibri" w:eastAsia="Calibri" w:hAnsi="Calibri" w:cs="Calibri"/>
          <w:sz w:val="20"/>
          <w:szCs w:val="20"/>
        </w:rPr>
      </w:pPr>
      <w:r>
        <w:rPr>
          <w:rFonts w:ascii="Calibri" w:eastAsia="Calibri" w:hAnsi="Calibri" w:cs="Calibri"/>
          <w:sz w:val="20"/>
          <w:szCs w:val="20"/>
        </w:rPr>
        <w:t>La depresión, la ansiedad y los trastornos del comportamiento se encuentran entre las principales causas de enfermedad y discapacidad entre los adolescentes. El suicidio es la cuarta causa de muerte entre los jóvenes de 15 a 29 años</w:t>
      </w:r>
      <w:r>
        <w:rPr>
          <w:rFonts w:ascii="Calibri" w:eastAsia="Calibri" w:hAnsi="Calibri" w:cs="Calibri"/>
          <w:sz w:val="20"/>
          <w:szCs w:val="20"/>
          <w:vertAlign w:val="superscript"/>
        </w:rPr>
        <w:footnoteReference w:id="2"/>
      </w:r>
      <w:r>
        <w:rPr>
          <w:rFonts w:ascii="Calibri" w:eastAsia="Calibri" w:hAnsi="Calibri" w:cs="Calibri"/>
          <w:sz w:val="20"/>
          <w:szCs w:val="20"/>
        </w:rPr>
        <w:t>.</w:t>
      </w:r>
    </w:p>
    <w:p w:rsidR="002F3A39" w:rsidRDefault="003B638A">
      <w:pPr>
        <w:spacing w:before="240" w:after="150"/>
        <w:jc w:val="both"/>
        <w:rPr>
          <w:rFonts w:ascii="Calibri" w:eastAsia="Calibri" w:hAnsi="Calibri" w:cs="Calibri"/>
          <w:sz w:val="20"/>
          <w:szCs w:val="20"/>
        </w:rPr>
      </w:pPr>
      <w:r>
        <w:rPr>
          <w:rFonts w:ascii="Calibri" w:eastAsia="Calibri" w:hAnsi="Calibri" w:cs="Calibri"/>
          <w:sz w:val="20"/>
          <w:szCs w:val="20"/>
        </w:rPr>
        <w:t>Cuando estos primeros síntomas no reciben atención, se afecta el desarrollo del niño/adolescente, sus logros educativos y el potencial para vivir vidas plenas, productivas y saludables.</w:t>
      </w:r>
    </w:p>
    <w:p w:rsidR="002F3A39" w:rsidRDefault="003B638A">
      <w:pPr>
        <w:spacing w:after="150"/>
        <w:jc w:val="both"/>
        <w:rPr>
          <w:rFonts w:ascii="Calibri" w:eastAsia="Calibri" w:hAnsi="Calibri" w:cs="Calibri"/>
          <w:sz w:val="20"/>
          <w:szCs w:val="20"/>
        </w:rPr>
      </w:pPr>
      <w:r>
        <w:rPr>
          <w:rFonts w:ascii="Calibri" w:eastAsia="Calibri" w:hAnsi="Calibri" w:cs="Calibri"/>
          <w:sz w:val="20"/>
          <w:szCs w:val="20"/>
        </w:rPr>
        <w:t>En este contexto, la Organización Panamericana de la Salud (OPS) afirma que La depresión es la enfermedad que más contribuye a la carga mundial de morbilidad entre los jóvenes de 15 a 19 años, y el suicidio es una de las tres causas principales de mortalidad entre las personas de 15 a 35 años.</w:t>
      </w:r>
    </w:p>
    <w:p w:rsidR="002F3A39" w:rsidRDefault="003B638A">
      <w:p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La salud mental en la actualidad ha ganado importancia debido principalmente a la pandemia vivida en años anteriores, lo cual generó cambios significativos en las relaciones familiares, en aspectos laborales y educativos, en el uso aumentado de las tecnologías y el internet, entre otros. Estos cambios han provocado </w:t>
      </w:r>
      <w:r>
        <w:rPr>
          <w:rFonts w:ascii="Calibri" w:eastAsia="Calibri" w:hAnsi="Calibri" w:cs="Calibri"/>
          <w:sz w:val="20"/>
          <w:szCs w:val="20"/>
        </w:rPr>
        <w:lastRenderedPageBreak/>
        <w:t>un mayor interés por el desarrollo de acciones de promoción de la salud mental, brindar apoyo emocional y crear entornos saludables que permitan a las personas alcanzar y mantener un bienestar emocional óptimo.</w:t>
      </w:r>
    </w:p>
    <w:p w:rsidR="002F3A39" w:rsidRDefault="003B638A">
      <w:p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sz w:val="20"/>
          <w:szCs w:val="20"/>
        </w:rPr>
        <w:t>Ante la problemática la OMS en el 2021 publicó las directrices sobre las intervenciones de promoción y prevención en materia de salud mental destinadas a adolescentes</w:t>
      </w:r>
      <w:r>
        <w:rPr>
          <w:rFonts w:ascii="Calibri" w:eastAsia="Calibri" w:hAnsi="Calibri" w:cs="Calibri"/>
          <w:sz w:val="20"/>
          <w:szCs w:val="20"/>
          <w:vertAlign w:val="superscript"/>
        </w:rPr>
        <w:footnoteReference w:id="3"/>
      </w:r>
      <w:r>
        <w:rPr>
          <w:rFonts w:ascii="Calibri" w:eastAsia="Calibri" w:hAnsi="Calibri" w:cs="Calibri"/>
          <w:sz w:val="20"/>
          <w:szCs w:val="20"/>
        </w:rPr>
        <w:t>: estrategias para ayudar a los adolescentes a prosperar, que ofrecen recomendaciones basadas en pruebas científicas sobre intervenciones psicosociales dirigidas a promover la buena salud mental y a prevenir los trastornos mentales entre los adolescentes.” Los principales destinatarios de las Directrices son las autoridades nacionales responsables de formular políticas, los planificadores y administradores de programas sanitarios gubernamentales y no gubernamentales y las personas que trabajan en organismos internacionales de salud y desarrollo” e incluye entre otros:</w:t>
      </w:r>
    </w:p>
    <w:p w:rsidR="002F3A39" w:rsidRDefault="003B638A">
      <w:pPr>
        <w:numPr>
          <w:ilvl w:val="0"/>
          <w:numId w:val="2"/>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 xml:space="preserve">Recomendación: </w:t>
      </w:r>
      <w:r>
        <w:rPr>
          <w:rFonts w:ascii="Calibri" w:eastAsia="Calibri" w:hAnsi="Calibri" w:cs="Calibri"/>
          <w:sz w:val="20"/>
          <w:szCs w:val="20"/>
        </w:rPr>
        <w:t>Deberían ofrecerse intervenciones psicosociales universales dirigidas a todos los adolescentes. Estas intervenciones promueven una buena salud mental, a la vez que previenen y reducen el comportamiento suicida, los trastornos mentales (como la depresión y la ansiedad), las conductas problemáticas de agresividad o de oposición y el consumo de sustancias.</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 Fuerza de la recomendación: Fuerte.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Certeza de las pruebas: Baja.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Observaciones importantes: En vista de las pruebas disponibles, las intervenciones deberían centrarse en el aprendizaje social y emocional e incorporar aspectos como, por ejemplo, la regulación emocional, la resolución de problemas, las aptitudes interpersonales, la atención consciente, la asertividad y la gestión del estrés </w:t>
      </w:r>
      <w:r>
        <w:rPr>
          <w:rFonts w:ascii="Calibri" w:eastAsia="Calibri" w:hAnsi="Calibri" w:cs="Calibri"/>
          <w:sz w:val="20"/>
          <w:szCs w:val="20"/>
          <w:vertAlign w:val="superscript"/>
        </w:rPr>
        <w:footnoteReference w:id="4"/>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Justificación: En muchos casos se rebajó la certeza de las pruebas porque los estudios estaban sujetos al riesgo de sesgo, tanto por la dificultad de enmascaramiento de las intervenciones como por la dependencia de resultados comunicados por los propios interesados, dos fenómenos que son muy habituales en este tipo de estudios de intervención. Sin embargo, se emitió una recomendación fuerte a pesar de la escasa certeza de las pruebas, porque los resultados de los estudios se consideraron muy coherentes y porque se llegó a la conclusión de que se podían obtener beneficios significativos que superaban con creces los posibles daños. Además, la recomendación se sustentó en varias consideraciones sobre valores, viabilidad y costo eficacia. Las intervenciones universales en las escuelas pueden ser más fáciles de ejecutar y es menos probable que provoquen estigmatización, en comparación con las intervenciones que requieren una selección de participantes. Cuando se realizan en las escuelas, las intervenciones pueden abordar varios factores de riesgo y ayudar a gran parte de los adolescentes, a la vez que les proporcionan aptitudes básicas para promover la salud mental y prevenir las conductas de riesgo</w:t>
      </w:r>
    </w:p>
    <w:p w:rsidR="002F3A39" w:rsidRDefault="003B638A">
      <w:pPr>
        <w:numPr>
          <w:ilvl w:val="0"/>
          <w:numId w:val="2"/>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lastRenderedPageBreak/>
        <w:t>Recomendación D:</w:t>
      </w:r>
      <w:r>
        <w:rPr>
          <w:rFonts w:ascii="Calibri" w:eastAsia="Calibri" w:hAnsi="Calibri" w:cs="Calibri"/>
          <w:sz w:val="20"/>
          <w:szCs w:val="20"/>
        </w:rPr>
        <w:t xml:space="preserve"> Deberían ofrecerse intervenciones psicosociales dirigidas a los adolescentes con síntomas emocionales.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Fuerza de la recomendación: Fuerte en lo tocante a la reducción de síntomas de depresión/ansiedad, a la prevención de trastornos mentales (depresión y ansiedad) y a la promoción de una buena salud mental. Condicional en lo que respecta a mejorar la asistencia a la escuela.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Certeza de las pruebas: Muy baja.</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Observaciones importantes: Teniendo en cuenta las pruebas disponibles, cabe plantearse la posibilidad de poner en práctica TCC en grupo para las adolescentes con síntomas emocionales</w:t>
      </w:r>
      <w:r>
        <w:rPr>
          <w:rFonts w:ascii="Calibri" w:eastAsia="Calibri" w:hAnsi="Calibri" w:cs="Calibri"/>
          <w:sz w:val="20"/>
          <w:szCs w:val="20"/>
          <w:vertAlign w:val="superscript"/>
        </w:rPr>
        <w:footnoteReference w:id="5"/>
      </w:r>
      <w:r>
        <w:rPr>
          <w:rFonts w:ascii="Calibri" w:eastAsia="Calibri" w:hAnsi="Calibri" w:cs="Calibri"/>
          <w:sz w:val="20"/>
          <w:szCs w:val="20"/>
        </w:rPr>
        <w:t xml:space="preserve"> (12).</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 Justificación: En muchos casos se rebajó la certeza de las pruebas porque los estudios estaban sujetos al riesgo de sesgo, tanto por la dificultad de enmascaramiento de las intervenciones como por la dependencia de resultados comunicados por los propios interesados, dos fenómenos que son muy habituales en este tipo de estudios de intervención. Sin embargo, pese a que la certeza de las pruebas se calificó como muy baja, se emitió una recomendación fuerte de reducir los síntomas de depresión o ansiedad y prevenir los trastornos mentales (depresión y ansiedad) así como de promover una buena salud mental en los adolescentes con problemas emocionales. El motivo es que los beneficios compensan los daños potenciales. Además, entran en juego consideraciones importantes sobre valores, equidad y costo eficacia que justifican invertir en intervenciones específicas para este grupo de riesgo. La mala salud mental de los adolescentes es un factor de riesgo fundamental que puede desencadenar problemas de salud física y mental más adelante. Se ha demostrado que es crucial intervenir cuanto antes en los adolescentes que presentan problemas emocionales, para prevenir la progresión de los problemas de salud mental y mejorar sus trayectorias vitales y sanitarias. </w:t>
      </w:r>
    </w:p>
    <w:p w:rsidR="002F3A39" w:rsidRDefault="003B638A">
      <w:pPr>
        <w:numPr>
          <w:ilvl w:val="0"/>
          <w:numId w:val="2"/>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Recomendación E</w:t>
      </w:r>
      <w:r>
        <w:rPr>
          <w:rFonts w:ascii="Calibri" w:eastAsia="Calibri" w:hAnsi="Calibri" w:cs="Calibri"/>
          <w:sz w:val="20"/>
          <w:szCs w:val="20"/>
        </w:rPr>
        <w:t xml:space="preserve"> Deberían ofrecerse intervenciones psicosociales específicas dirigidas a los adolescentes con conductas problemáticas o comportamientos de oposición. Estas intervenciones reducen las conductas agresivas y problemáticas y el comportamiento de oposición, previenen los trastornos mentales (depresión y ansiedad) y promueven una buena salud mental. Las intervenciones deben realizarse con cautela para evitar que aumente el consumo de sustancias entre los adolescentes con conductas problemáticas o comportamientos de oposición.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Fuerza de la recomendación: Condicional.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 xml:space="preserve">Certeza de las pruebas: Muy baja. </w:t>
      </w:r>
    </w:p>
    <w:p w:rsidR="002F3A39" w:rsidRDefault="003B638A">
      <w:pPr>
        <w:numPr>
          <w:ilvl w:val="1"/>
          <w:numId w:val="2"/>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sz w:val="20"/>
          <w:szCs w:val="20"/>
        </w:rPr>
        <w:t>Observaciones importantes: Según las pruebas disponibles, en adolescentes que corren el riesgo de sufrir un trastorno de la conducta o a los que se les ha diagnosticado dicho trastorno, las intervenciones más eficaces son las que incluyen la formación para los progenitores basada en enfoques de aprendizaje social, y la formación social, cognitiva, de resolución de problemas y de aptitudes interpersonales para los adolescentes. También se pueden realizar intervenciones multimodales tanto para los adolescentes como para sus progenitores, basadas en un modelo de aprendizaje social (13).</w:t>
      </w:r>
    </w:p>
    <w:p w:rsidR="002F3A39" w:rsidRDefault="003B638A">
      <w:pPr>
        <w:pBdr>
          <w:top w:val="nil"/>
          <w:left w:val="nil"/>
          <w:bottom w:val="nil"/>
          <w:right w:val="nil"/>
          <w:between w:val="nil"/>
        </w:pBdr>
        <w:shd w:val="clear" w:color="auto" w:fill="FFFFFF"/>
        <w:spacing w:before="240" w:after="240"/>
        <w:jc w:val="both"/>
        <w:rPr>
          <w:rFonts w:ascii="Calibri" w:eastAsia="Calibri" w:hAnsi="Calibri" w:cs="Calibri"/>
          <w:sz w:val="20"/>
          <w:szCs w:val="20"/>
        </w:rPr>
      </w:pPr>
      <w:r>
        <w:rPr>
          <w:rFonts w:ascii="Calibri" w:eastAsia="Calibri" w:hAnsi="Calibri" w:cs="Calibri"/>
          <w:sz w:val="20"/>
          <w:szCs w:val="20"/>
        </w:rPr>
        <w:t>Por lo anterior, en el ámbito educativo la promoción de la salud mental es crucial toda vez que es necesario promover a la escuela como un espacio seguro, donde los estudiantes puedan sentirse tranquilos y desarrollar las habilidades que el proceso educativo demanda. En ese sentido, es necesario promover espacios donde los estudiantes expresen sus emociones y preocupaciones, así como espacios seguros, como grupos de discusión o actividades creativas, donde puedan hablar sobre sus experiencias y emociones, lo cual puede ayudarles a procesar y superar las dificultades vividas durante la pandemia. Asimismo, es clave enseñar a los estudiantes habilidades de afrontamiento y gestión del estrés, esto incluye técnicas de relajación, ejercicios de respiración, prácticas de mindfulness y estrategias para gestionar las emociones negativas.</w:t>
      </w:r>
    </w:p>
    <w:p w:rsidR="002F3A39" w:rsidRDefault="003B638A">
      <w:pPr>
        <w:pBdr>
          <w:top w:val="nil"/>
          <w:left w:val="nil"/>
          <w:bottom w:val="nil"/>
          <w:right w:val="nil"/>
          <w:between w:val="nil"/>
        </w:pBdr>
        <w:shd w:val="clear" w:color="auto" w:fill="FFFFFF"/>
        <w:spacing w:after="240"/>
        <w:jc w:val="both"/>
        <w:rPr>
          <w:rFonts w:ascii="Calibri" w:eastAsia="Calibri" w:hAnsi="Calibri" w:cs="Calibri"/>
          <w:sz w:val="20"/>
          <w:szCs w:val="20"/>
        </w:rPr>
      </w:pPr>
      <w:r>
        <w:rPr>
          <w:rFonts w:ascii="Calibri" w:eastAsia="Calibri" w:hAnsi="Calibri" w:cs="Calibri"/>
          <w:sz w:val="20"/>
          <w:szCs w:val="20"/>
        </w:rPr>
        <w:t>No obstante, este trabajo preventivo en salud mental debe desarrollarse con todos los actores de la comunidad educativa, de manera que todos reciban herramientas y cuenten con espacios de escucha, aprendizaje y relajación que les permita transformar sus lógicas de pensamiento y mejorar sus niveles de bienestar y calidad de vida.</w:t>
      </w:r>
    </w:p>
    <w:p w:rsidR="002F3A39" w:rsidRDefault="003B638A">
      <w:pPr>
        <w:pBdr>
          <w:top w:val="nil"/>
          <w:left w:val="nil"/>
          <w:bottom w:val="nil"/>
          <w:right w:val="nil"/>
          <w:between w:val="nil"/>
        </w:pBdr>
        <w:shd w:val="clear" w:color="auto" w:fill="FFFFFF"/>
        <w:spacing w:after="240"/>
        <w:jc w:val="both"/>
        <w:rPr>
          <w:rFonts w:ascii="Calibri" w:eastAsia="Calibri" w:hAnsi="Calibri" w:cs="Calibri"/>
          <w:b/>
          <w:sz w:val="20"/>
          <w:szCs w:val="20"/>
        </w:rPr>
      </w:pPr>
      <w:r>
        <w:rPr>
          <w:rFonts w:ascii="Calibri" w:eastAsia="Calibri" w:hAnsi="Calibri" w:cs="Calibri"/>
          <w:sz w:val="20"/>
          <w:szCs w:val="20"/>
        </w:rPr>
        <w:t>Desarrollar acciones de promoción de la salud mental en las instituciones educativas es esencial para el bienestar, el desarrollo integral y el éxito académico de los estudiantes. Además, ayuda a prevenir problemas de salud mental, promueve habilidades socioemocionales, previene la violencia y el acoso, reduce el estigma y apoya a los profesionales de la educación, tal como se describe a continuación:</w:t>
      </w:r>
    </w:p>
    <w:p w:rsidR="002F3A39" w:rsidRDefault="003B638A">
      <w:pPr>
        <w:numPr>
          <w:ilvl w:val="0"/>
          <w:numId w:val="1"/>
        </w:numPr>
        <w:pBdr>
          <w:top w:val="nil"/>
          <w:left w:val="nil"/>
          <w:bottom w:val="nil"/>
          <w:right w:val="nil"/>
          <w:between w:val="nil"/>
        </w:pBdr>
        <w:shd w:val="clear" w:color="auto" w:fill="FFFFFF"/>
        <w:jc w:val="both"/>
        <w:rPr>
          <w:rFonts w:ascii="Calibri" w:eastAsia="Calibri" w:hAnsi="Calibri" w:cs="Calibri"/>
          <w:sz w:val="20"/>
          <w:szCs w:val="20"/>
        </w:rPr>
      </w:pPr>
      <w:r>
        <w:rPr>
          <w:rFonts w:ascii="Calibri" w:eastAsia="Calibri" w:hAnsi="Calibri" w:cs="Calibri"/>
          <w:b/>
          <w:sz w:val="20"/>
          <w:szCs w:val="20"/>
        </w:rPr>
        <w:t>Mejora del rendimiento académico</w:t>
      </w:r>
      <w:r>
        <w:rPr>
          <w:rFonts w:ascii="Calibri" w:eastAsia="Calibri" w:hAnsi="Calibri" w:cs="Calibri"/>
          <w:sz w:val="20"/>
          <w:szCs w:val="20"/>
        </w:rPr>
        <w:t>: La salud mental influye directamente en el rendimiento académico de los estudiantes. Al promover un ambiente seguro, inclusivo y saludable, se facilita la concentración, la motivación, el aprendizaje y la retención de conocimientos.</w:t>
      </w:r>
    </w:p>
    <w:p w:rsidR="002F3A39" w:rsidRDefault="003B638A">
      <w:pPr>
        <w:numPr>
          <w:ilvl w:val="0"/>
          <w:numId w:val="1"/>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Fomenta las habilidades socioemocionales</w:t>
      </w:r>
      <w:r>
        <w:rPr>
          <w:rFonts w:ascii="Calibri" w:eastAsia="Calibri" w:hAnsi="Calibri" w:cs="Calibri"/>
          <w:sz w:val="20"/>
          <w:szCs w:val="20"/>
        </w:rPr>
        <w:t>: La promoción de la salud mental en las escuelas incluye la enseñanza y el desarrollo de habilidades socioemocionales. Estas habilidades, como la inteligencia emocional, la empatía, la resolución de conflictos y la toma de decisiones saludables, son fundamentales para el éxito personal y social de los estudiantes.</w:t>
      </w:r>
    </w:p>
    <w:p w:rsidR="002F3A39" w:rsidRDefault="003B638A">
      <w:pPr>
        <w:numPr>
          <w:ilvl w:val="0"/>
          <w:numId w:val="1"/>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Previene el acoso y la violencia</w:t>
      </w:r>
      <w:r>
        <w:rPr>
          <w:rFonts w:ascii="Calibri" w:eastAsia="Calibri" w:hAnsi="Calibri" w:cs="Calibri"/>
          <w:sz w:val="20"/>
          <w:szCs w:val="20"/>
        </w:rPr>
        <w:t>: Al fomentar el respeto, la tolerancia, la comunicación efectiva y la empatía, se crean entornos escolares más seguros y saludables.</w:t>
      </w:r>
    </w:p>
    <w:p w:rsidR="002F3A39" w:rsidRDefault="003B638A">
      <w:pPr>
        <w:numPr>
          <w:ilvl w:val="0"/>
          <w:numId w:val="1"/>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Reduce el estigma y la discriminación</w:t>
      </w:r>
      <w:r>
        <w:rPr>
          <w:rFonts w:ascii="Calibri" w:eastAsia="Calibri" w:hAnsi="Calibri" w:cs="Calibri"/>
          <w:sz w:val="20"/>
          <w:szCs w:val="20"/>
        </w:rPr>
        <w:t>: La promoción de la salud mental desempeña un papel importante en la reducción del estigma y la discriminación asociados a los problemas de salud mental, al propiciar un clima de aceptación, comprensión y apoyo, se promueve la inclusión y se fomenta un ambiente libre de prejuicios.</w:t>
      </w:r>
    </w:p>
    <w:p w:rsidR="002F3A39" w:rsidRDefault="003B638A">
      <w:pPr>
        <w:numPr>
          <w:ilvl w:val="0"/>
          <w:numId w:val="1"/>
        </w:numPr>
        <w:pBdr>
          <w:top w:val="nil"/>
          <w:left w:val="nil"/>
          <w:bottom w:val="nil"/>
          <w:right w:val="nil"/>
          <w:between w:val="nil"/>
        </w:pBdr>
        <w:shd w:val="clear" w:color="auto" w:fill="FFFFFF"/>
        <w:spacing w:before="240"/>
        <w:jc w:val="both"/>
        <w:rPr>
          <w:rFonts w:ascii="Calibri" w:eastAsia="Calibri" w:hAnsi="Calibri" w:cs="Calibri"/>
          <w:sz w:val="20"/>
          <w:szCs w:val="20"/>
        </w:rPr>
      </w:pPr>
      <w:r>
        <w:rPr>
          <w:rFonts w:ascii="Calibri" w:eastAsia="Calibri" w:hAnsi="Calibri" w:cs="Calibri"/>
          <w:b/>
          <w:sz w:val="20"/>
          <w:szCs w:val="20"/>
        </w:rPr>
        <w:t>Apoya a docentes y personal educativo</w:t>
      </w:r>
      <w:r>
        <w:rPr>
          <w:rFonts w:ascii="Calibri" w:eastAsia="Calibri" w:hAnsi="Calibri" w:cs="Calibri"/>
          <w:sz w:val="20"/>
          <w:szCs w:val="20"/>
        </w:rPr>
        <w:t>: Las acciones de promoción de la salud mental no solo se enfocan en los estudiantes, sino también en el bienestar de los docentes y el personal educativo. Proporcionar apoyo, capacitación y recursos en salud mental a los profesionales de la educación contribuye a crear entornos laborales saludables y a mejorar la calidad de la enseñanza.</w:t>
      </w:r>
    </w:p>
    <w:p w:rsidR="002F3A39" w:rsidRDefault="003B638A">
      <w:pPr>
        <w:numPr>
          <w:ilvl w:val="0"/>
          <w:numId w:val="1"/>
        </w:numPr>
        <w:pBdr>
          <w:top w:val="nil"/>
          <w:left w:val="nil"/>
          <w:bottom w:val="nil"/>
          <w:right w:val="nil"/>
          <w:between w:val="nil"/>
        </w:pBdr>
        <w:spacing w:before="240" w:after="150"/>
        <w:jc w:val="both"/>
        <w:rPr>
          <w:rFonts w:ascii="Calibri" w:eastAsia="Calibri" w:hAnsi="Calibri" w:cs="Calibri"/>
          <w:sz w:val="20"/>
          <w:szCs w:val="20"/>
        </w:rPr>
      </w:pPr>
      <w:r>
        <w:rPr>
          <w:rFonts w:ascii="Calibri" w:eastAsia="Calibri" w:hAnsi="Calibri" w:cs="Calibri"/>
          <w:b/>
          <w:sz w:val="20"/>
          <w:szCs w:val="20"/>
        </w:rPr>
        <w:t xml:space="preserve">Acompaña a las familias: </w:t>
      </w:r>
      <w:r>
        <w:rPr>
          <w:rFonts w:ascii="Calibri" w:eastAsia="Calibri" w:hAnsi="Calibri" w:cs="Calibri"/>
          <w:sz w:val="20"/>
          <w:szCs w:val="20"/>
        </w:rPr>
        <w:t>Involucrar a los padres, madres de familia y cuidadores en la promoción de la salud mental de los estudiantes que es esencial y esto se puede lograr a través de talleres, charlas y eventos para las familias, en los cuales puedan brindarles herramientas para ayudarles a comprender mejor las necesidades emocionales de sus hijos y las propias, que les permita establecer relaciones positivas en casa</w:t>
      </w:r>
    </w:p>
    <w:p w:rsidR="002F3A39" w:rsidRDefault="002F3A39">
      <w:pPr>
        <w:jc w:val="both"/>
        <w:rPr>
          <w:rFonts w:ascii="Calibri" w:eastAsia="Calibri" w:hAnsi="Calibri" w:cs="Calibri"/>
          <w:b/>
          <w:sz w:val="20"/>
          <w:szCs w:val="20"/>
        </w:rPr>
      </w:pPr>
    </w:p>
    <w:p w:rsidR="002F3A39" w:rsidRDefault="003B638A">
      <w:pPr>
        <w:spacing w:after="150"/>
        <w:rPr>
          <w:rFonts w:ascii="Calibri" w:eastAsia="Calibri" w:hAnsi="Calibri" w:cs="Calibri"/>
          <w:sz w:val="20"/>
          <w:szCs w:val="20"/>
        </w:rPr>
      </w:pPr>
      <w:r>
        <w:rPr>
          <w:rFonts w:ascii="Calibri" w:eastAsia="Calibri" w:hAnsi="Calibri" w:cs="Calibri"/>
          <w:sz w:val="20"/>
          <w:szCs w:val="20"/>
        </w:rPr>
        <w:t>La Encuesta Nacional de Salud Mental 2015</w:t>
      </w:r>
      <w:r>
        <w:rPr>
          <w:rFonts w:ascii="Calibri" w:eastAsia="Calibri" w:hAnsi="Calibri" w:cs="Calibri"/>
          <w:sz w:val="20"/>
          <w:szCs w:val="20"/>
          <w:vertAlign w:val="superscript"/>
        </w:rPr>
        <w:footnoteReference w:id="6"/>
      </w:r>
      <w:r>
        <w:rPr>
          <w:rFonts w:ascii="Calibri" w:eastAsia="Calibri" w:hAnsi="Calibri" w:cs="Calibri"/>
          <w:sz w:val="20"/>
          <w:szCs w:val="20"/>
        </w:rPr>
        <w:t xml:space="preserve"> evidenció: </w:t>
      </w:r>
      <w:r>
        <w:rPr>
          <w:rFonts w:ascii="Calibri" w:eastAsia="Calibri" w:hAnsi="Calibri" w:cs="Calibri"/>
          <w:noProof/>
          <w:sz w:val="20"/>
          <w:szCs w:val="20"/>
          <w:lang w:val="es-419" w:eastAsia="es-419"/>
        </w:rPr>
        <w:drawing>
          <wp:inline distT="0" distB="0" distL="0" distR="0">
            <wp:extent cx="5236723" cy="5616386"/>
            <wp:effectExtent l="0" t="0" r="0" b="0"/>
            <wp:docPr id="208733873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l="32409" t="26398" r="33315" b="14160"/>
                    <a:stretch>
                      <a:fillRect/>
                    </a:stretch>
                  </pic:blipFill>
                  <pic:spPr>
                    <a:xfrm>
                      <a:off x="0" y="0"/>
                      <a:ext cx="5236723" cy="5616386"/>
                    </a:xfrm>
                    <a:prstGeom prst="rect">
                      <a:avLst/>
                    </a:prstGeom>
                    <a:ln/>
                  </pic:spPr>
                </pic:pic>
              </a:graphicData>
            </a:graphic>
          </wp:inline>
        </w:drawing>
      </w:r>
    </w:p>
    <w:p w:rsidR="002F3A39" w:rsidRDefault="003B638A">
      <w:pPr>
        <w:spacing w:after="150"/>
        <w:jc w:val="both"/>
        <w:rPr>
          <w:rFonts w:ascii="Calibri" w:eastAsia="Calibri" w:hAnsi="Calibri" w:cs="Calibri"/>
          <w:sz w:val="20"/>
          <w:szCs w:val="20"/>
        </w:rPr>
      </w:pPr>
      <w:r>
        <w:rPr>
          <w:rFonts w:ascii="Calibri" w:eastAsia="Calibri" w:hAnsi="Calibri" w:cs="Calibri"/>
          <w:sz w:val="20"/>
          <w:szCs w:val="20"/>
        </w:rPr>
        <w:t>En dicha encuesta se mencionó que sólo el 31% de los escolares y el 13,4% de los adolescentes cumplen con las recomendaciones de actividad física. Además, el 69,9% de niños y el 76,6% de adolescentes, tienen tiempo excesivo frente las pantallas; tiempo que aumentó en el marco de la pandemia.</w:t>
      </w:r>
    </w:p>
    <w:p w:rsidR="002F3A39" w:rsidRDefault="003B638A">
      <w:pPr>
        <w:shd w:val="clear" w:color="auto" w:fill="FFFFFF"/>
        <w:spacing w:after="150"/>
        <w:jc w:val="both"/>
        <w:rPr>
          <w:rFonts w:ascii="Calibri" w:eastAsia="Calibri" w:hAnsi="Calibri" w:cs="Calibri"/>
          <w:sz w:val="20"/>
          <w:szCs w:val="20"/>
        </w:rPr>
      </w:pPr>
      <w:r>
        <w:rPr>
          <w:rFonts w:ascii="Calibri" w:eastAsia="Calibri" w:hAnsi="Calibri" w:cs="Calibri"/>
          <w:sz w:val="20"/>
          <w:szCs w:val="20"/>
        </w:rPr>
        <w:t>Según los reportes del Sistema Integrado de Información de la Protección Social (SISPRO), el Observatorio Nacional de Convivencia y Salud Mental, y el Sistema de Vigilancia en Salud Pública (SIVIGILA), en 2021 se notificaron 29.792 casos de intento suicida, que representan una tasa de incidencia de intento suicida del 58.4 por cada 100.000 habitantes.</w:t>
      </w:r>
    </w:p>
    <w:p w:rsidR="002F3A39" w:rsidRDefault="003B638A">
      <w:pPr>
        <w:shd w:val="clear" w:color="auto" w:fill="FFFFFF"/>
        <w:spacing w:after="150"/>
        <w:jc w:val="both"/>
        <w:rPr>
          <w:rFonts w:ascii="Calibri" w:eastAsia="Calibri" w:hAnsi="Calibri" w:cs="Calibri"/>
          <w:sz w:val="20"/>
          <w:szCs w:val="20"/>
        </w:rPr>
      </w:pPr>
      <w:r>
        <w:rPr>
          <w:rFonts w:ascii="Calibri" w:eastAsia="Calibri" w:hAnsi="Calibri" w:cs="Calibri"/>
          <w:sz w:val="20"/>
          <w:szCs w:val="20"/>
        </w:rPr>
        <w:t>Mientras que, en 2020 se reportó una tasa ajustada de mortalidad por trastornos mentales y del comportamiento del 2.19, por lesiones autoinfligidas intencionalmente del 5.29, y por epilepsia del 1.74. También, una tasa de años de vida potencialmente perdidos por lesiones autoinfligidas intencionalmente del 247.7, y por trastornos mentales y del comportamiento del 35.6.</w:t>
      </w:r>
    </w:p>
    <w:p w:rsidR="002F3A39" w:rsidRDefault="003B638A">
      <w:pPr>
        <w:shd w:val="clear" w:color="auto" w:fill="FFFFFF"/>
        <w:spacing w:after="150"/>
        <w:jc w:val="both"/>
        <w:rPr>
          <w:rFonts w:ascii="Calibri" w:eastAsia="Calibri" w:hAnsi="Calibri" w:cs="Calibri"/>
          <w:sz w:val="20"/>
          <w:szCs w:val="20"/>
        </w:rPr>
      </w:pPr>
      <w:r>
        <w:rPr>
          <w:rFonts w:ascii="Calibri" w:eastAsia="Calibri" w:hAnsi="Calibri" w:cs="Calibri"/>
          <w:sz w:val="20"/>
          <w:szCs w:val="20"/>
        </w:rPr>
        <w:t>En Colombia, la depresión es la segunda causa de carga de enfermedad. El 44,7 % de niñas y niños tienen indicios de algún problema mental y el 2,3 % tiene trastorno por déficit de atención e hiperactividad.</w:t>
      </w:r>
    </w:p>
    <w:p w:rsidR="002F3A39" w:rsidRDefault="003B638A">
      <w:pPr>
        <w:shd w:val="clear" w:color="auto" w:fill="FFFFFF"/>
        <w:spacing w:after="150"/>
        <w:jc w:val="both"/>
        <w:rPr>
          <w:rFonts w:ascii="Calibri" w:eastAsia="Calibri" w:hAnsi="Calibri" w:cs="Calibri"/>
          <w:sz w:val="20"/>
          <w:szCs w:val="20"/>
        </w:rPr>
      </w:pPr>
      <w:r>
        <w:rPr>
          <w:rFonts w:ascii="Calibri" w:eastAsia="Calibri" w:hAnsi="Calibri" w:cs="Calibri"/>
          <w:sz w:val="20"/>
          <w:szCs w:val="20"/>
        </w:rPr>
        <w:t>En la adolescencia los trastornos más frecuentes son la ansiedad, fobia social y depresión; la ideación suicida se presenta en el 6,6 % de esta población (7,4 % en mujeres y 5,7 % en hombres). En la adultez, el 6,7 % ha experimentado trastornos afectivos.</w:t>
      </w:r>
    </w:p>
    <w:p w:rsidR="002F3A39" w:rsidRDefault="003B638A">
      <w:pPr>
        <w:jc w:val="both"/>
        <w:rPr>
          <w:rFonts w:ascii="Calibri" w:eastAsia="Calibri" w:hAnsi="Calibri" w:cs="Calibri"/>
          <w:sz w:val="20"/>
          <w:szCs w:val="20"/>
        </w:rPr>
      </w:pPr>
      <w:r>
        <w:rPr>
          <w:rFonts w:ascii="Calibri" w:eastAsia="Calibri" w:hAnsi="Calibri" w:cs="Calibri"/>
          <w:sz w:val="20"/>
          <w:szCs w:val="20"/>
        </w:rPr>
        <w:t>Alineado a lo anterior, según informes del INS</w:t>
      </w:r>
      <w:r>
        <w:rPr>
          <w:rFonts w:ascii="Calibri" w:eastAsia="Calibri" w:hAnsi="Calibri" w:cs="Calibri"/>
          <w:sz w:val="20"/>
          <w:szCs w:val="20"/>
          <w:vertAlign w:val="superscript"/>
        </w:rPr>
        <w:footnoteReference w:id="7"/>
      </w:r>
      <w:r>
        <w:rPr>
          <w:rFonts w:ascii="Calibri" w:eastAsia="Calibri" w:hAnsi="Calibri" w:cs="Calibri"/>
          <w:sz w:val="20"/>
          <w:szCs w:val="20"/>
        </w:rPr>
        <w:t>, entre el 2021 y el 2022 el intento de suicidio se incrementó en un 25,1% y de los casos presentados en 2022, se evidenció que en el 39% correspondían a menores de 18 años.</w:t>
      </w:r>
    </w:p>
    <w:p w:rsidR="002F3A39" w:rsidRDefault="002F3A39">
      <w:pPr>
        <w:jc w:val="both"/>
        <w:rPr>
          <w:rFonts w:ascii="Calibri" w:eastAsia="Calibri" w:hAnsi="Calibri" w:cs="Calibri"/>
          <w:sz w:val="20"/>
          <w:szCs w:val="20"/>
        </w:rPr>
      </w:pPr>
    </w:p>
    <w:p w:rsidR="002F3A39" w:rsidRDefault="003B638A">
      <w:pPr>
        <w:spacing w:after="150"/>
        <w:jc w:val="center"/>
        <w:rPr>
          <w:rFonts w:ascii="Calibri" w:eastAsia="Calibri" w:hAnsi="Calibri" w:cs="Calibri"/>
          <w:sz w:val="20"/>
          <w:szCs w:val="20"/>
        </w:rPr>
      </w:pPr>
      <w:r>
        <w:rPr>
          <w:rFonts w:ascii="Calibri" w:eastAsia="Calibri" w:hAnsi="Calibri" w:cs="Calibri"/>
          <w:noProof/>
          <w:sz w:val="20"/>
          <w:szCs w:val="20"/>
          <w:lang w:val="es-419" w:eastAsia="es-419"/>
        </w:rPr>
        <w:drawing>
          <wp:inline distT="0" distB="0" distL="0" distR="0">
            <wp:extent cx="2583438" cy="2055792"/>
            <wp:effectExtent l="0" t="0" r="0" b="0"/>
            <wp:docPr id="208733873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l="24538" t="18407" r="25315" b="12052"/>
                    <a:stretch>
                      <a:fillRect/>
                    </a:stretch>
                  </pic:blipFill>
                  <pic:spPr>
                    <a:xfrm>
                      <a:off x="0" y="0"/>
                      <a:ext cx="2583438" cy="2055792"/>
                    </a:xfrm>
                    <a:prstGeom prst="rect">
                      <a:avLst/>
                    </a:prstGeom>
                    <a:ln/>
                  </pic:spPr>
                </pic:pic>
              </a:graphicData>
            </a:graphic>
          </wp:inline>
        </w:drawing>
      </w:r>
    </w:p>
    <w:p w:rsidR="002F3A39" w:rsidRDefault="003B638A">
      <w:pPr>
        <w:shd w:val="clear" w:color="auto" w:fill="FAFBFD"/>
        <w:spacing w:after="360"/>
        <w:jc w:val="center"/>
        <w:rPr>
          <w:rFonts w:ascii="Calibri" w:eastAsia="Calibri" w:hAnsi="Calibri" w:cs="Calibri"/>
          <w:sz w:val="20"/>
          <w:szCs w:val="20"/>
        </w:rPr>
      </w:pPr>
      <w:r>
        <w:rPr>
          <w:rFonts w:ascii="Calibri" w:eastAsia="Calibri" w:hAnsi="Calibri" w:cs="Calibri"/>
          <w:noProof/>
          <w:sz w:val="20"/>
          <w:szCs w:val="20"/>
          <w:lang w:val="es-419" w:eastAsia="es-419"/>
        </w:rPr>
        <w:drawing>
          <wp:inline distT="0" distB="0" distL="0" distR="0">
            <wp:extent cx="2465407" cy="2528510"/>
            <wp:effectExtent l="0" t="0" r="0" b="0"/>
            <wp:docPr id="208733873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l="49447" t="18407" r="17379" b="5466"/>
                    <a:stretch>
                      <a:fillRect/>
                    </a:stretch>
                  </pic:blipFill>
                  <pic:spPr>
                    <a:xfrm>
                      <a:off x="0" y="0"/>
                      <a:ext cx="2465407" cy="2528510"/>
                    </a:xfrm>
                    <a:prstGeom prst="rect">
                      <a:avLst/>
                    </a:prstGeom>
                    <a:ln/>
                  </pic:spPr>
                </pic:pic>
              </a:graphicData>
            </a:graphic>
          </wp:inline>
        </w:drawing>
      </w:r>
    </w:p>
    <w:p w:rsidR="002F3A39" w:rsidRDefault="003B638A">
      <w:pPr>
        <w:spacing w:before="240"/>
        <w:jc w:val="both"/>
        <w:rPr>
          <w:rFonts w:ascii="Calibri" w:eastAsia="Calibri" w:hAnsi="Calibri" w:cs="Calibri"/>
          <w:sz w:val="20"/>
          <w:szCs w:val="20"/>
        </w:rPr>
      </w:pPr>
      <w:r>
        <w:rPr>
          <w:rFonts w:ascii="Calibri" w:eastAsia="Calibri" w:hAnsi="Calibri" w:cs="Calibri"/>
          <w:sz w:val="20"/>
          <w:szCs w:val="20"/>
        </w:rPr>
        <w:t>Colombia cuenta con 2.5 psiquiatras por cada 100.000 habitantes, muy por debajo de la tasa de 10 por cada 100.000 habitantes que recomienda la OMS. “Lo que se vino después de la pandemia fue la llamada cuarta ola, que es el número de personas con problemas psicosociales y afectaciones de salud mental”</w:t>
      </w:r>
    </w:p>
    <w:p w:rsidR="002F3A39" w:rsidRDefault="002F3A39">
      <w:pPr>
        <w:spacing w:before="240"/>
        <w:jc w:val="both"/>
        <w:rPr>
          <w:rFonts w:ascii="Calibri" w:eastAsia="Calibri" w:hAnsi="Calibri" w:cs="Calibri"/>
          <w:b/>
          <w:sz w:val="20"/>
          <w:szCs w:val="20"/>
        </w:rPr>
      </w:pPr>
    </w:p>
    <w:p w:rsidR="002F3A39" w:rsidRDefault="003B638A">
      <w:pPr>
        <w:spacing w:after="240"/>
        <w:jc w:val="both"/>
        <w:rPr>
          <w:rFonts w:ascii="Calibri" w:eastAsia="Calibri" w:hAnsi="Calibri" w:cs="Calibri"/>
          <w:b/>
          <w:sz w:val="20"/>
          <w:szCs w:val="20"/>
        </w:rPr>
      </w:pPr>
      <w:r>
        <w:rPr>
          <w:rFonts w:ascii="Calibri" w:eastAsia="Calibri" w:hAnsi="Calibri" w:cs="Calibri"/>
          <w:b/>
          <w:sz w:val="20"/>
          <w:szCs w:val="20"/>
        </w:rPr>
        <w:t>3.4. Panorama de la articulación entre salud mental y educación</w:t>
      </w:r>
      <w:r>
        <w:rPr>
          <w:rFonts w:ascii="Calibri" w:eastAsia="Calibri" w:hAnsi="Calibri" w:cs="Calibri"/>
          <w:sz w:val="20"/>
          <w:szCs w:val="20"/>
        </w:rPr>
        <w:t xml:space="preserve"> </w:t>
      </w:r>
      <w:r>
        <w:rPr>
          <w:rFonts w:ascii="Calibri" w:eastAsia="Calibri" w:hAnsi="Calibri" w:cs="Calibri"/>
          <w:b/>
          <w:sz w:val="20"/>
          <w:szCs w:val="20"/>
        </w:rPr>
        <w:t>en Colombia</w:t>
      </w:r>
    </w:p>
    <w:p w:rsidR="002F3A39" w:rsidRDefault="003B638A">
      <w:pPr>
        <w:spacing w:after="240"/>
        <w:jc w:val="both"/>
        <w:rPr>
          <w:rFonts w:ascii="Calibri" w:eastAsia="Calibri" w:hAnsi="Calibri" w:cs="Calibri"/>
          <w:sz w:val="20"/>
          <w:szCs w:val="20"/>
        </w:rPr>
      </w:pPr>
      <w:r>
        <w:rPr>
          <w:rFonts w:ascii="Calibri" w:eastAsia="Calibri" w:hAnsi="Calibri" w:cs="Calibri"/>
          <w:sz w:val="20"/>
          <w:szCs w:val="20"/>
        </w:rPr>
        <w:t>En el Plan Nacional Decenal de Educación 2016-2026 ( PNDE), se incluye LAS HABILIDADES EMOCIONALES DESDE LA EDUCACIÓN EN COLOMBIA</w:t>
      </w:r>
      <w:r>
        <w:rPr>
          <w:rFonts w:ascii="Calibri" w:eastAsia="Calibri" w:hAnsi="Calibri" w:cs="Calibri"/>
          <w:sz w:val="20"/>
          <w:szCs w:val="20"/>
          <w:vertAlign w:val="superscript"/>
        </w:rPr>
        <w:footnoteReference w:id="8"/>
      </w:r>
      <w:r>
        <w:rPr>
          <w:rFonts w:ascii="Calibri" w:eastAsia="Calibri" w:hAnsi="Calibri" w:cs="Calibri"/>
          <w:sz w:val="20"/>
          <w:szCs w:val="20"/>
        </w:rPr>
        <w:t xml:space="preserve">, de forma explícita en el capítulo de Desarrollo infantil y educación inicial, macro objetivo tres, se indica que la educación para la primera infancia debe buscar, no solamente el desarrollo cognitivo, sino también el desarrollo afectivo en relación a la calidad con la que se brinda, mediante la formación de agentes educativos, incluyendo infraestructura, dotación, modalidades de atención, modelos pedagógicos. Por su parte, el objetivo ocho del mismo plan, propone como gran prioridad promover el desarrollo cognitivo, afectivo, social y comunicativo mediante una mediación pedagógica y cultural que contribuya al desarrollo de competencias. </w:t>
      </w:r>
    </w:p>
    <w:p w:rsidR="002F3A39" w:rsidRDefault="003B638A">
      <w:pPr>
        <w:spacing w:after="240"/>
        <w:jc w:val="both"/>
        <w:rPr>
          <w:rFonts w:ascii="Calibri" w:eastAsia="Calibri" w:hAnsi="Calibri" w:cs="Calibri"/>
          <w:sz w:val="20"/>
          <w:szCs w:val="20"/>
        </w:rPr>
      </w:pPr>
      <w:r>
        <w:rPr>
          <w:rFonts w:ascii="Calibri" w:eastAsia="Calibri" w:hAnsi="Calibri" w:cs="Calibri"/>
          <w:sz w:val="20"/>
          <w:szCs w:val="20"/>
        </w:rPr>
        <w:t>El PNDE 2016-2026 refuerza de manera enfática la educación emocional; en el quinto lineamiento, enuncia que ésta debe ser transversal a la educación y propone implementar una formación integral permanente para la ciudadanía a través del desarrollo de competencias ciudadanas, comunicativas y habilidades socio emocionales y competencias ciudadanas para la convivencia pacífica y cultura de paz en la comunidad educativa y todos los niveles del sistema educativo de manera transversal en todo el currículo.</w:t>
      </w:r>
    </w:p>
    <w:p w:rsidR="002F3A39" w:rsidRDefault="003B638A">
      <w:pPr>
        <w:spacing w:after="240"/>
        <w:jc w:val="both"/>
        <w:rPr>
          <w:rFonts w:ascii="Calibri" w:eastAsia="Calibri" w:hAnsi="Calibri" w:cs="Calibri"/>
          <w:sz w:val="20"/>
          <w:szCs w:val="20"/>
        </w:rPr>
      </w:pPr>
      <w:r>
        <w:rPr>
          <w:rFonts w:ascii="Calibri" w:eastAsia="Calibri" w:hAnsi="Calibri" w:cs="Calibri"/>
          <w:sz w:val="20"/>
          <w:szCs w:val="20"/>
        </w:rPr>
        <w:t>No obstante a lo anterior, de acuerdo con un artículo publicado por el diario La República en octubre de 2022, sustentado en un informe del Laboratorio de Economía de la Educación (LEE) de la Universidad Javeriana, que analiza los resultados de las pruebas Saber 11,se indica que “ocho de cada 10 colegios no atienden las necesidades de salud física, mental y social de sus estudiantes y por lo menos el 77% de los colegios considera que no acompaña adecuadamente las necesidades de salud física, mental y social estudiantil”. Este artículo muestra que las situaciones de convivencia escolar son una preocupación creciente para estudiantes, familias y colegios. Lo que puede llevar a la deserción y ausentismo escolar, así como afectar el rendimiento académico y la salud mental de los estudiantes. (La República, 2023)</w:t>
      </w:r>
      <w:r>
        <w:rPr>
          <w:rFonts w:ascii="Calibri" w:eastAsia="Calibri" w:hAnsi="Calibri" w:cs="Calibri"/>
          <w:sz w:val="20"/>
          <w:szCs w:val="20"/>
          <w:vertAlign w:val="superscript"/>
        </w:rPr>
        <w:footnoteReference w:id="9"/>
      </w:r>
    </w:p>
    <w:p w:rsidR="002F3A39" w:rsidRDefault="003B638A">
      <w:pPr>
        <w:spacing w:after="240"/>
        <w:jc w:val="both"/>
        <w:rPr>
          <w:rFonts w:ascii="Calibri" w:eastAsia="Calibri" w:hAnsi="Calibri" w:cs="Calibri"/>
          <w:sz w:val="20"/>
          <w:szCs w:val="20"/>
        </w:rPr>
      </w:pPr>
      <w:r>
        <w:rPr>
          <w:rFonts w:ascii="Calibri" w:eastAsia="Calibri" w:hAnsi="Calibri" w:cs="Calibri"/>
          <w:sz w:val="20"/>
          <w:szCs w:val="20"/>
        </w:rPr>
        <w:t xml:space="preserve">El informe incluyó la información de 1.556 establecimientos educativos (68% colegios oficiales y 32% privados, provenientes de 316 municipios y 31 departamentos) donde se compararon dos variables de interés: desempeño académico y las condiciones de salud mental y bienestar, se identificó que un mejor desempeño escolar está asociado a condiciones favorables de salud y bienestar. </w:t>
      </w:r>
    </w:p>
    <w:p w:rsidR="002F3A39" w:rsidRDefault="003B638A">
      <w:pPr>
        <w:spacing w:after="240"/>
        <w:jc w:val="center"/>
        <w:rPr>
          <w:rFonts w:ascii="Calibri" w:eastAsia="Calibri" w:hAnsi="Calibri" w:cs="Calibri"/>
          <w:b/>
          <w:sz w:val="20"/>
          <w:szCs w:val="20"/>
        </w:rPr>
      </w:pPr>
      <w:r>
        <w:rPr>
          <w:rFonts w:ascii="Calibri" w:eastAsia="Calibri" w:hAnsi="Calibri" w:cs="Calibri"/>
          <w:b/>
          <w:sz w:val="20"/>
          <w:szCs w:val="20"/>
        </w:rPr>
        <w:t>Condiciones de salud y bienestar de los colegios, según índice Welbin.</w:t>
      </w:r>
    </w:p>
    <w:p w:rsidR="002F3A39" w:rsidRDefault="003B638A">
      <w:pPr>
        <w:spacing w:after="240"/>
        <w:jc w:val="center"/>
        <w:rPr>
          <w:rFonts w:ascii="Calibri" w:eastAsia="Calibri" w:hAnsi="Calibri" w:cs="Calibri"/>
          <w:sz w:val="20"/>
          <w:szCs w:val="20"/>
        </w:rPr>
      </w:pPr>
      <w:r>
        <w:rPr>
          <w:rFonts w:ascii="Calibri" w:eastAsia="Calibri" w:hAnsi="Calibri" w:cs="Calibri"/>
          <w:noProof/>
          <w:sz w:val="20"/>
          <w:szCs w:val="20"/>
          <w:lang w:val="es-419" w:eastAsia="es-419"/>
        </w:rPr>
        <w:drawing>
          <wp:inline distT="0" distB="0" distL="0" distR="0">
            <wp:extent cx="3883166" cy="2826887"/>
            <wp:effectExtent l="0" t="0" r="0" b="0"/>
            <wp:docPr id="2087338736" name="image4.jpg" descr="Gráfico, Gráfico de líneas&#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4.jpg" descr="Gráfico, Gráfico de líneas&#10;&#10;Descripción generada automáticamente"/>
                    <pic:cNvPicPr preferRelativeResize="0"/>
                  </pic:nvPicPr>
                  <pic:blipFill>
                    <a:blip r:embed="rId11"/>
                    <a:srcRect t="12645"/>
                    <a:stretch>
                      <a:fillRect/>
                    </a:stretch>
                  </pic:blipFill>
                  <pic:spPr>
                    <a:xfrm>
                      <a:off x="0" y="0"/>
                      <a:ext cx="3883166" cy="2826887"/>
                    </a:xfrm>
                    <a:prstGeom prst="rect">
                      <a:avLst/>
                    </a:prstGeom>
                    <a:ln/>
                  </pic:spPr>
                </pic:pic>
              </a:graphicData>
            </a:graphic>
          </wp:inline>
        </w:drawing>
      </w:r>
    </w:p>
    <w:p w:rsidR="002F3A39" w:rsidRDefault="003B638A">
      <w:pPr>
        <w:jc w:val="center"/>
        <w:rPr>
          <w:rFonts w:ascii="Calibri" w:eastAsia="Calibri" w:hAnsi="Calibri" w:cs="Calibri"/>
          <w:sz w:val="20"/>
          <w:szCs w:val="20"/>
        </w:rPr>
      </w:pPr>
      <w:r>
        <w:rPr>
          <w:rFonts w:ascii="Calibri" w:eastAsia="Calibri" w:hAnsi="Calibri" w:cs="Calibri"/>
          <w:sz w:val="20"/>
          <w:szCs w:val="20"/>
        </w:rPr>
        <w:t>Fuente: Saber 11 (ICFES) y resultados índices Welbin 2022</w:t>
      </w:r>
    </w:p>
    <w:p w:rsidR="002F3A39" w:rsidRDefault="003B638A">
      <w:pPr>
        <w:shd w:val="clear" w:color="auto" w:fill="FFFFFF"/>
        <w:spacing w:before="240" w:after="280"/>
        <w:jc w:val="both"/>
        <w:rPr>
          <w:rFonts w:ascii="Calibri" w:eastAsia="Calibri" w:hAnsi="Calibri" w:cs="Calibri"/>
          <w:sz w:val="20"/>
          <w:szCs w:val="20"/>
        </w:rPr>
      </w:pPr>
      <w:r>
        <w:rPr>
          <w:rFonts w:ascii="Calibri" w:eastAsia="Calibri" w:hAnsi="Calibri" w:cs="Calibri"/>
          <w:sz w:val="20"/>
          <w:szCs w:val="20"/>
        </w:rPr>
        <w:t>Tras analizar varias categorías relacionadas con el bienestar escolar, uno de los hallazgos de esta investigación es que las principales áreas en las que los colegios necesitan más capacitación son: la salud mental, la resolución de conflictos y la educación sexual.</w:t>
      </w:r>
    </w:p>
    <w:p w:rsidR="002F3A39" w:rsidRDefault="003B638A">
      <w:pPr>
        <w:shd w:val="clear" w:color="auto" w:fill="FFFFFF"/>
        <w:spacing w:after="280"/>
        <w:jc w:val="both"/>
        <w:rPr>
          <w:rFonts w:ascii="Calibri" w:eastAsia="Calibri" w:hAnsi="Calibri" w:cs="Calibri"/>
          <w:sz w:val="20"/>
          <w:szCs w:val="20"/>
        </w:rPr>
      </w:pPr>
      <w:r>
        <w:rPr>
          <w:rFonts w:ascii="Calibri" w:eastAsia="Calibri" w:hAnsi="Calibri" w:cs="Calibri"/>
          <w:sz w:val="20"/>
          <w:szCs w:val="20"/>
        </w:rPr>
        <w:t>Otros hallazgos son: solo 16% de las escuelas tiene mecanismos para identificar y derivar casos de salud mental, 33% de los colegios provee acompañamiento psicosocial, 32% de los docentes están formados para abordar la prevención del suicidio y 19% de los colegios tiene mecanismos para identificar y derivar casos de violencia escolar.</w:t>
      </w:r>
    </w:p>
    <w:p w:rsidR="002F3A39" w:rsidRDefault="003B638A">
      <w:pPr>
        <w:pBdr>
          <w:top w:val="nil"/>
          <w:left w:val="nil"/>
          <w:bottom w:val="nil"/>
          <w:right w:val="nil"/>
          <w:between w:val="nil"/>
        </w:pBdr>
        <w:shd w:val="clear" w:color="auto" w:fill="FFFFFF"/>
        <w:spacing w:after="360"/>
        <w:jc w:val="both"/>
        <w:rPr>
          <w:rFonts w:ascii="Calibri" w:eastAsia="Calibri" w:hAnsi="Calibri" w:cs="Calibri"/>
          <w:b/>
          <w:sz w:val="20"/>
          <w:szCs w:val="20"/>
          <w:highlight w:val="white"/>
        </w:rPr>
      </w:pPr>
      <w:r>
        <w:rPr>
          <w:rFonts w:ascii="Calibri" w:eastAsia="Calibri" w:hAnsi="Calibri" w:cs="Calibri"/>
          <w:b/>
          <w:sz w:val="20"/>
          <w:szCs w:val="20"/>
          <w:highlight w:val="white"/>
        </w:rPr>
        <w:t>3.5 Panorama de la articulación entre salud mental y educación en Bogotá</w:t>
      </w:r>
    </w:p>
    <w:p w:rsidR="002F3A39" w:rsidRDefault="003B638A">
      <w:pPr>
        <w:numPr>
          <w:ilvl w:val="0"/>
          <w:numId w:val="3"/>
        </w:numPr>
        <w:pBdr>
          <w:top w:val="nil"/>
          <w:left w:val="nil"/>
          <w:bottom w:val="nil"/>
          <w:right w:val="nil"/>
          <w:between w:val="nil"/>
        </w:pBdr>
        <w:spacing w:before="280"/>
        <w:jc w:val="both"/>
        <w:rPr>
          <w:rFonts w:ascii="Calibri" w:eastAsia="Calibri" w:hAnsi="Calibri" w:cs="Calibri"/>
          <w:b/>
          <w:sz w:val="20"/>
          <w:szCs w:val="20"/>
        </w:rPr>
      </w:pPr>
      <w:r>
        <w:rPr>
          <w:rFonts w:ascii="Calibri" w:eastAsia="Calibri" w:hAnsi="Calibri" w:cs="Calibri"/>
          <w:b/>
          <w:sz w:val="20"/>
          <w:szCs w:val="20"/>
        </w:rPr>
        <w:t>PROPÓSITO INSPIRAR CONFIANZA Y LEGITIMIDAD PARA VIVIR SIN MIEDO Y SER EPICENTRO DE CULTURA CIUDADANA, PAZ Y RECONCILIACIÓN</w:t>
      </w:r>
    </w:p>
    <w:p w:rsidR="002F3A39" w:rsidRDefault="003B638A">
      <w:pPr>
        <w:numPr>
          <w:ilvl w:val="1"/>
          <w:numId w:val="3"/>
        </w:numPr>
        <w:pBdr>
          <w:top w:val="nil"/>
          <w:left w:val="nil"/>
          <w:bottom w:val="nil"/>
          <w:right w:val="nil"/>
          <w:between w:val="nil"/>
        </w:pBdr>
        <w:jc w:val="both"/>
        <w:rPr>
          <w:rFonts w:ascii="Calibri" w:eastAsia="Calibri" w:hAnsi="Calibri" w:cs="Calibri"/>
          <w:sz w:val="20"/>
          <w:szCs w:val="20"/>
        </w:rPr>
      </w:pPr>
      <w:r>
        <w:rPr>
          <w:rFonts w:ascii="Calibri" w:eastAsia="Calibri" w:hAnsi="Calibri" w:cs="Calibri"/>
          <w:sz w:val="20"/>
          <w:szCs w:val="20"/>
        </w:rPr>
        <w:t>PROGRAMAS</w:t>
      </w:r>
    </w:p>
    <w:p w:rsidR="002F3A39" w:rsidRDefault="003B638A">
      <w:pPr>
        <w:numPr>
          <w:ilvl w:val="2"/>
          <w:numId w:val="3"/>
        </w:numPr>
        <w:pBdr>
          <w:top w:val="nil"/>
          <w:left w:val="nil"/>
          <w:bottom w:val="nil"/>
          <w:right w:val="nil"/>
          <w:between w:val="nil"/>
        </w:pBdr>
        <w:jc w:val="both"/>
        <w:rPr>
          <w:rFonts w:ascii="Calibri" w:eastAsia="Calibri" w:hAnsi="Calibri" w:cs="Calibri"/>
          <w:sz w:val="20"/>
          <w:szCs w:val="20"/>
        </w:rPr>
      </w:pPr>
      <w:r>
        <w:rPr>
          <w:rFonts w:ascii="Calibri" w:eastAsia="Calibri" w:hAnsi="Calibri" w:cs="Calibri"/>
          <w:sz w:val="20"/>
          <w:szCs w:val="20"/>
        </w:rPr>
        <w:t>Sin machismo ni violencia contra las mujeres, las niñas y los niños, avance PDD 68,35%</w:t>
      </w:r>
    </w:p>
    <w:p w:rsidR="002F3A39" w:rsidRDefault="003B638A">
      <w:pPr>
        <w:numPr>
          <w:ilvl w:val="2"/>
          <w:numId w:val="3"/>
        </w:numPr>
        <w:pBdr>
          <w:top w:val="nil"/>
          <w:left w:val="nil"/>
          <w:bottom w:val="nil"/>
          <w:right w:val="nil"/>
          <w:between w:val="nil"/>
        </w:pBdr>
        <w:spacing w:after="280"/>
        <w:jc w:val="both"/>
        <w:rPr>
          <w:rFonts w:ascii="Calibri" w:eastAsia="Calibri" w:hAnsi="Calibri" w:cs="Calibri"/>
          <w:sz w:val="20"/>
          <w:szCs w:val="20"/>
        </w:rPr>
      </w:pPr>
      <w:r>
        <w:rPr>
          <w:rFonts w:ascii="Calibri" w:eastAsia="Calibri" w:hAnsi="Calibri" w:cs="Calibri"/>
          <w:sz w:val="20"/>
          <w:szCs w:val="20"/>
        </w:rPr>
        <w:t>Atención a jóvenes y adultos infractores con impacto en su proyecto de vida, avance PDD 81,19%</w:t>
      </w:r>
    </w:p>
    <w:p w:rsidR="002F3A39" w:rsidRDefault="003B638A">
      <w:pPr>
        <w:pBdr>
          <w:top w:val="nil"/>
          <w:left w:val="nil"/>
          <w:bottom w:val="nil"/>
          <w:right w:val="nil"/>
          <w:between w:val="nil"/>
        </w:pBdr>
        <w:spacing w:before="280" w:after="280"/>
        <w:jc w:val="both"/>
        <w:rPr>
          <w:rFonts w:ascii="Calibri" w:eastAsia="Calibri" w:hAnsi="Calibri" w:cs="Calibri"/>
          <w:sz w:val="20"/>
          <w:szCs w:val="20"/>
        </w:rPr>
      </w:pPr>
      <w:r>
        <w:rPr>
          <w:rFonts w:ascii="Calibri" w:eastAsia="Calibri" w:hAnsi="Calibri" w:cs="Calibri"/>
          <w:sz w:val="20"/>
          <w:szCs w:val="20"/>
        </w:rPr>
        <w:t>Aunado a lo anterior, en Bogotá existe un creciente interés por la salud mental, especialmente incrementado después de la pandemia. Se prioriza vigilancia de la conducta suicida</w:t>
      </w:r>
      <w:r>
        <w:rPr>
          <w:rFonts w:ascii="Calibri" w:eastAsia="Calibri" w:hAnsi="Calibri" w:cs="Calibri"/>
          <w:sz w:val="20"/>
          <w:szCs w:val="20"/>
          <w:vertAlign w:val="superscript"/>
        </w:rPr>
        <w:footnoteReference w:id="10"/>
      </w:r>
      <w:r>
        <w:rPr>
          <w:rFonts w:ascii="Calibri" w:eastAsia="Calibri" w:hAnsi="Calibri" w:cs="Calibri"/>
          <w:sz w:val="20"/>
          <w:szCs w:val="20"/>
        </w:rPr>
        <w:t xml:space="preserve"> comprendida como ideación suicida, intento de suicidio y suicidio, se incluyen entre otras fuentes las correspondientes a las Instituciones Educativas a través del Sistema de alertas SED – SDS. Según salud Data, para el año 2022 se presentó 24.615 casos de ideación suicida y una tasa de 31,15 por 10.000HB, mostrando un incremento del 61,05% (n= 9.331) al compararlo con los registros del año 2021. Del total de los casos presentados el 66,4% (n=16.343) se presentaron en mujeres y la mayor concentración de los casos se ubican en los grupos de edad adolescencia con el 37,6% (n=9255) y juventud representa el 30,0% (n=7380). Las localidades que presentan una mayor proporción de ideación suicida corresponden a: Kennedy con el 14,15% (n=3.482), Suba con 12,90% (n=3.176), Bosa con 10,75% (n=2.647), Engativá con 9,83% (n=2.420) y Ciudad Bolívar 8,73%. (n=2.148), aportando estas cinco localidades el 56,36% de los casos ocurridos de intento en el Distrito.</w:t>
      </w:r>
    </w:p>
    <w:p w:rsidR="002F3A39" w:rsidRDefault="003B638A">
      <w:pPr>
        <w:shd w:val="clear" w:color="auto" w:fill="FFFFFF"/>
        <w:spacing w:after="360"/>
        <w:jc w:val="both"/>
        <w:rPr>
          <w:rFonts w:ascii="Calibri" w:eastAsia="Calibri" w:hAnsi="Calibri" w:cs="Calibri"/>
          <w:sz w:val="20"/>
          <w:szCs w:val="20"/>
        </w:rPr>
      </w:pPr>
      <w:bookmarkStart w:id="2" w:name="_heading=h.30j0zll" w:colFirst="0" w:colLast="0"/>
      <w:bookmarkEnd w:id="2"/>
      <w:r>
        <w:rPr>
          <w:rFonts w:ascii="Calibri" w:eastAsia="Calibri" w:hAnsi="Calibri" w:cs="Calibri"/>
          <w:sz w:val="20"/>
          <w:szCs w:val="20"/>
        </w:rPr>
        <w:t>La conducta de intento suicida es comprendida como una “conducta potencialmente lesiva auto infligida y sin resultado fatal, para la que existe evidencia, implícita o explícita, de intencionalidad de provocarse la muerte. Dicha conducta puede provocar o no lesiones, independientemente de la letalidad del método (MSPS, 2016). Presentar un intento de suicidio se considera factor de riesgo para muerte por suicidio </w:t>
      </w:r>
      <w:hyperlink r:id="rId12" w:anchor="_ftn1">
        <w:r>
          <w:rPr>
            <w:rFonts w:ascii="Calibri" w:eastAsia="Calibri" w:hAnsi="Calibri" w:cs="Calibri"/>
            <w:sz w:val="20"/>
            <w:szCs w:val="20"/>
            <w:u w:val="single"/>
          </w:rPr>
          <w:t>[1]</w:t>
        </w:r>
      </w:hyperlink>
      <w:r>
        <w:rPr>
          <w:rFonts w:ascii="Calibri" w:eastAsia="Calibri" w:hAnsi="Calibri" w:cs="Calibri"/>
          <w:sz w:val="20"/>
          <w:szCs w:val="20"/>
        </w:rPr>
        <w:t xml:space="preserve">A nivel distrital desde el año 2.017 se observa un incremento en la notificación de la conducta suicida en donde las tasas se encuentran entre 6.0 a 10.5 casos por 10.000HB, acentuándose la tendencia al aumento a partir del año 2021 donde se registran 6.074 casos y a tasa de 7,8. </w:t>
      </w:r>
    </w:p>
    <w:p w:rsidR="002F3A39" w:rsidRDefault="003B638A">
      <w:pPr>
        <w:shd w:val="clear" w:color="auto" w:fill="FFFFFF"/>
        <w:spacing w:after="360"/>
        <w:jc w:val="both"/>
        <w:rPr>
          <w:rFonts w:ascii="Calibri" w:eastAsia="Calibri" w:hAnsi="Calibri" w:cs="Calibri"/>
          <w:sz w:val="20"/>
          <w:szCs w:val="20"/>
        </w:rPr>
      </w:pPr>
      <w:r>
        <w:rPr>
          <w:rFonts w:ascii="Calibri" w:eastAsia="Calibri" w:hAnsi="Calibri" w:cs="Calibri"/>
          <w:sz w:val="20"/>
          <w:szCs w:val="20"/>
        </w:rPr>
        <w:t xml:space="preserve">* Respecto al periodo de 2022 en Bogotá, se registraron 8.332 intentos suicidas, con una tasa del 10.5 por 10.000 HB, mostrando una variación del 37,17% (n=2.258) en comparación con el año 2021. </w:t>
      </w:r>
    </w:p>
    <w:p w:rsidR="002F3A39" w:rsidRDefault="003B638A">
      <w:pPr>
        <w:shd w:val="clear" w:color="auto" w:fill="FFFFFF"/>
        <w:spacing w:after="360"/>
        <w:jc w:val="both"/>
        <w:rPr>
          <w:rFonts w:ascii="Calibri" w:eastAsia="Calibri" w:hAnsi="Calibri" w:cs="Calibri"/>
          <w:sz w:val="20"/>
          <w:szCs w:val="20"/>
        </w:rPr>
      </w:pPr>
      <w:r>
        <w:rPr>
          <w:rFonts w:ascii="Calibri" w:eastAsia="Calibri" w:hAnsi="Calibri" w:cs="Calibri"/>
          <w:sz w:val="20"/>
          <w:szCs w:val="20"/>
        </w:rPr>
        <w:t>El grupo de edad que presenta mayor peso porcentual corresponde a los grupos de edad juventud con 3.564 (42,8%) casos, adolescencia con 2.447 (29,4%) casos y adultez con 1.963 (23,6%) eventos. En este sentido son las mujeres con el 67,0% (n=5.583) quienes aportan la mayor frecuencia del evento, mientras que los hombres aportan el 33,0% (n=2.749), presentándose una razón de 2.0 mujeres por cada hombre que presenta la conducta de intento suicida. Las localidades que presentan las tasas más altas de intento suicida corresponden a las localidades de: La Candelaria 19,3 (n=35), Santa Fe 15,6 (n=168), Los Mártires 12,7 (n=106), Teusaquillo 12,5 (n=210) y Barrios Unidos 12,2 (n=183); mientras que, en cuanto la mayor concentración por el número de casos registrados, se ubican: Suba con 1.304 (15,65%), Kennedy registra 1.010 (12,12%), Engativá con 843 (10,12%), Bosa aporta 784 (9,41%) y Ciudad Bolívar 743 (8,92%).</w:t>
      </w:r>
    </w:p>
    <w:p w:rsidR="002F3A39" w:rsidRDefault="003B638A">
      <w:pPr>
        <w:shd w:val="clear" w:color="auto" w:fill="FFFFFF"/>
        <w:spacing w:after="360"/>
        <w:jc w:val="both"/>
        <w:rPr>
          <w:rFonts w:ascii="Calibri" w:eastAsia="Calibri" w:hAnsi="Calibri" w:cs="Calibri"/>
          <w:sz w:val="20"/>
          <w:szCs w:val="20"/>
        </w:rPr>
      </w:pPr>
      <w:r>
        <w:rPr>
          <w:rFonts w:ascii="Calibri" w:eastAsia="Calibri" w:hAnsi="Calibri" w:cs="Calibri"/>
          <w:sz w:val="20"/>
          <w:szCs w:val="20"/>
        </w:rPr>
        <w:t>Para el año 2022, en Bogotá D.C se presentaron 399 suicidios evidenciándose un incremento del 6,7% (n=25) al compararlo con el año 2021 en el cual se registraron 374 eventos. Con una tasa estimada de 5,0 suicidios por cada 100.000 habitantes. Se observó que el 74,69 % de los casos de suicidio se presentaron en hombres (n= 298), observando que por cada mujer que se suicida, 3 hombres se quitan la vida. Así mismo, se evidencia que en las mujeres para el año 2022 se presentó un incremento de 62.9% equivalentes a 39 casos al compararlo con el año 2021. Sin embargo, teniendo en cuenta los datos del año 2019, siendo el año pre pandémico por Sars – cov 2, se registraron cifras similares por sexo en donde los hombres aportaron 312 (75,36%) muertes y las mujeres 102 (24,64%) mostrando una razón de sexos similar al año más reciente.</w:t>
      </w:r>
    </w:p>
    <w:p w:rsidR="002F3A39" w:rsidRDefault="003B638A">
      <w:pPr>
        <w:shd w:val="clear" w:color="auto" w:fill="FFFFFF"/>
        <w:spacing w:after="360"/>
        <w:jc w:val="both"/>
        <w:rPr>
          <w:rFonts w:ascii="Calibri" w:eastAsia="Calibri" w:hAnsi="Calibri" w:cs="Calibri"/>
          <w:sz w:val="20"/>
          <w:szCs w:val="20"/>
        </w:rPr>
      </w:pPr>
      <w:r>
        <w:rPr>
          <w:rFonts w:ascii="Calibri" w:eastAsia="Calibri" w:hAnsi="Calibri" w:cs="Calibri"/>
          <w:sz w:val="20"/>
          <w:szCs w:val="20"/>
        </w:rPr>
        <w:t>En relación con el grupo de edad son los jóvenes con edad comprendidas entre los 20 a 29 años, los que aportan el 33,58% (n=130) de los casos de suicidio, en relación con el curso de vida se concentran los datos más altos entre adultez comprendido este entre los 29 y los 59 años con 119 (39,35%), de igual manera se observa una alta proporción en la población joven comprendida entre los 18 a 28 años con un 37,34% (n=149). Respecto a los datos por quinquenios en los grupos de edad, se observa que los adolescentes con edades comprendidas entre los 15 a 17 años, presentan 26 casos mostrando un incremento del 73,33% (n=11), al compararlo con el año inmediatamente anterior. Así mismo el grupo de los jóvenes con edades comprendidas entre los 20 a 24 años el cual registra 80 casos muestra de igual forma una variación del 33,33% (n=20) y en el curso de vida vejez en el rango de edad comprendida entre los 65 a 69 años, registra 20 eventos mostrando un incremento del 66,67% (n=8).</w:t>
      </w:r>
    </w:p>
    <w:p w:rsidR="002F3A39" w:rsidRDefault="003B638A">
      <w:pPr>
        <w:pBdr>
          <w:top w:val="nil"/>
          <w:left w:val="nil"/>
          <w:bottom w:val="nil"/>
          <w:right w:val="nil"/>
          <w:between w:val="nil"/>
        </w:pBdr>
        <w:spacing w:before="280" w:after="280"/>
        <w:jc w:val="both"/>
        <w:rPr>
          <w:rFonts w:ascii="Calibri" w:eastAsia="Calibri" w:hAnsi="Calibri" w:cs="Calibri"/>
          <w:sz w:val="20"/>
          <w:szCs w:val="20"/>
        </w:rPr>
      </w:pPr>
      <w:r>
        <w:rPr>
          <w:rFonts w:ascii="Calibri" w:eastAsia="Calibri" w:hAnsi="Calibri" w:cs="Calibri"/>
          <w:sz w:val="20"/>
          <w:szCs w:val="20"/>
        </w:rPr>
        <w:t>Para el año 2.022 las cinco localidades que registraron un mayor número de casos de suicidio consumado fueron Kennedy (n=49) y una tasa de 4.7, en orden descendente continua Suba (n =44) y una tasa de 3.5; seguido de Ciudad Bolívar con una tasa de 6.6 (n=43), Engativá (n=37) y la tasa de 4.5 y San Cristóbal (n=31) con una tasa del 7.7, agrupando el 51,13% de los casos de suicidio presentados en toda ciudad. Adicionalmente las localidades de Sumapaz, Chapinero y Santa Fe reflejan las tasas de 23.9, 9.6 y 9.3 de muertes por suicidio por cada 100.000 habitantes respectivamente, las cuales son superiores a la estimada para el distrito la cual fue de 5,0 suicidios por cada 100.000 habitantes.</w:t>
      </w:r>
    </w:p>
    <w:p w:rsidR="002F3A39" w:rsidRDefault="003B638A">
      <w:pPr>
        <w:pBdr>
          <w:top w:val="nil"/>
          <w:left w:val="nil"/>
          <w:bottom w:val="nil"/>
          <w:right w:val="nil"/>
          <w:between w:val="nil"/>
        </w:pBdr>
        <w:spacing w:before="280" w:after="280"/>
        <w:jc w:val="center"/>
        <w:rPr>
          <w:rFonts w:ascii="Calibri" w:eastAsia="Calibri" w:hAnsi="Calibri" w:cs="Calibri"/>
          <w:sz w:val="20"/>
          <w:szCs w:val="20"/>
        </w:rPr>
      </w:pPr>
      <w:r>
        <w:rPr>
          <w:rFonts w:ascii="Calibri" w:eastAsia="Calibri" w:hAnsi="Calibri" w:cs="Calibri"/>
          <w:noProof/>
          <w:sz w:val="20"/>
          <w:szCs w:val="20"/>
          <w:lang w:val="es-419" w:eastAsia="es-419"/>
        </w:rPr>
        <w:drawing>
          <wp:inline distT="0" distB="0" distL="0" distR="0">
            <wp:extent cx="3080772" cy="2918513"/>
            <wp:effectExtent l="0" t="0" r="0" b="0"/>
            <wp:docPr id="20873387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l="26467" t="21022" r="27812" b="22429"/>
                    <a:stretch>
                      <a:fillRect/>
                    </a:stretch>
                  </pic:blipFill>
                  <pic:spPr>
                    <a:xfrm>
                      <a:off x="0" y="0"/>
                      <a:ext cx="3080772" cy="2918513"/>
                    </a:xfrm>
                    <a:prstGeom prst="rect">
                      <a:avLst/>
                    </a:prstGeom>
                    <a:ln/>
                  </pic:spPr>
                </pic:pic>
              </a:graphicData>
            </a:graphic>
          </wp:inline>
        </w:drawing>
      </w:r>
    </w:p>
    <w:p w:rsidR="002F3A39" w:rsidRDefault="003B638A">
      <w:pPr>
        <w:jc w:val="both"/>
        <w:rPr>
          <w:rFonts w:ascii="Calibri" w:eastAsia="Calibri" w:hAnsi="Calibri" w:cs="Calibri"/>
          <w:b/>
          <w:sz w:val="20"/>
          <w:szCs w:val="20"/>
        </w:rPr>
      </w:pPr>
      <w:bookmarkStart w:id="3" w:name="_heading=h.1fob9te" w:colFirst="0" w:colLast="0"/>
      <w:bookmarkEnd w:id="3"/>
      <w:r>
        <w:rPr>
          <w:rFonts w:ascii="Calibri" w:eastAsia="Calibri" w:hAnsi="Calibri" w:cs="Calibri"/>
          <w:b/>
          <w:sz w:val="20"/>
          <w:szCs w:val="20"/>
        </w:rPr>
        <w:t xml:space="preserve">Debilidad de la planta de Docentes de Orientación Escolar </w:t>
      </w:r>
    </w:p>
    <w:p w:rsidR="002F3A39" w:rsidRDefault="002F3A39">
      <w:pPr>
        <w:jc w:val="both"/>
        <w:rPr>
          <w:rFonts w:ascii="Calibri" w:eastAsia="Calibri" w:hAnsi="Calibri" w:cs="Calibri"/>
          <w:b/>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La planta de docentes y directivos docentes autorizada por la Nación y el Distrito Capital y adoptada por la Secretaría de Educación del Distrito, mediante Decreto Modificatorio Distrital 160 DE 2023, para el funcionamiento de las Instituciones Educativas Distritales es de 35.056 cargos, que incluye docentes y directivos docentes y está conformada de acuerdo con la siguiente distribución:</w:t>
      </w:r>
    </w:p>
    <w:p w:rsidR="002F3A39" w:rsidRDefault="002F3A39">
      <w:pPr>
        <w:rPr>
          <w:rFonts w:ascii="Calibri" w:eastAsia="Calibri" w:hAnsi="Calibri" w:cs="Calibri"/>
          <w:sz w:val="20"/>
          <w:szCs w:val="20"/>
        </w:rPr>
      </w:pPr>
    </w:p>
    <w:p w:rsidR="002F3A39" w:rsidRDefault="003B638A">
      <w:pPr>
        <w:ind w:right="1047"/>
        <w:jc w:val="center"/>
        <w:rPr>
          <w:rFonts w:ascii="Calibri" w:eastAsia="Calibri" w:hAnsi="Calibri" w:cs="Calibri"/>
          <w:sz w:val="20"/>
          <w:szCs w:val="20"/>
        </w:rPr>
      </w:pPr>
      <w:bookmarkStart w:id="4" w:name="_heading=h.3znysh7" w:colFirst="0" w:colLast="0"/>
      <w:bookmarkEnd w:id="4"/>
      <w:r>
        <w:rPr>
          <w:rFonts w:ascii="Calibri" w:eastAsia="Calibri" w:hAnsi="Calibri" w:cs="Calibri"/>
          <w:noProof/>
          <w:sz w:val="20"/>
          <w:szCs w:val="20"/>
          <w:lang w:val="es-419" w:eastAsia="es-419"/>
        </w:rPr>
        <w:drawing>
          <wp:inline distT="0" distB="0" distL="0" distR="0">
            <wp:extent cx="3391446" cy="1705522"/>
            <wp:effectExtent l="0" t="0" r="0" b="0"/>
            <wp:docPr id="2087338737" name="image7.png" descr="https://lh7-rt.googleusercontent.com/docsz/AD_4nXeMAvaBtVLVvjpaFpTeeMF1GLHZi1nNVp3BzfhuQ4vkBQYmB0UwkKgZ9zUDXsMgwUnAfG9V-KoJnwrQPxI-8o8qkgbNQVeiU3QkCkok2eFbxiyAT8fFr9f_oTzqGLpi16ANH47kd6MhfA5ZLYKMeXk?key=gg5llathqP97dHgPvKblewRT"/>
            <wp:cNvGraphicFramePr/>
            <a:graphic xmlns:a="http://schemas.openxmlformats.org/drawingml/2006/main">
              <a:graphicData uri="http://schemas.openxmlformats.org/drawingml/2006/picture">
                <pic:pic xmlns:pic="http://schemas.openxmlformats.org/drawingml/2006/picture">
                  <pic:nvPicPr>
                    <pic:cNvPr id="0" name="image7.png" descr="https://lh7-rt.googleusercontent.com/docsz/AD_4nXeMAvaBtVLVvjpaFpTeeMF1GLHZi1nNVp3BzfhuQ4vkBQYmB0UwkKgZ9zUDXsMgwUnAfG9V-KoJnwrQPxI-8o8qkgbNQVeiU3QkCkok2eFbxiyAT8fFr9f_oTzqGLpi16ANH47kd6MhfA5ZLYKMeXk?key=gg5llathqP97dHgPvKblewRT"/>
                    <pic:cNvPicPr preferRelativeResize="0"/>
                  </pic:nvPicPr>
                  <pic:blipFill>
                    <a:blip r:embed="rId14"/>
                    <a:srcRect/>
                    <a:stretch>
                      <a:fillRect/>
                    </a:stretch>
                  </pic:blipFill>
                  <pic:spPr>
                    <a:xfrm>
                      <a:off x="0" y="0"/>
                      <a:ext cx="3391446" cy="1705522"/>
                    </a:xfrm>
                    <a:prstGeom prst="rect">
                      <a:avLst/>
                    </a:prstGeom>
                    <a:ln/>
                  </pic:spPr>
                </pic:pic>
              </a:graphicData>
            </a:graphic>
          </wp:inline>
        </w:drawing>
      </w:r>
    </w:p>
    <w:p w:rsidR="002F3A39" w:rsidRDefault="003B638A">
      <w:pPr>
        <w:jc w:val="both"/>
        <w:rPr>
          <w:rFonts w:ascii="Calibri" w:eastAsia="Calibri" w:hAnsi="Calibri" w:cs="Calibri"/>
          <w:sz w:val="20"/>
          <w:szCs w:val="20"/>
        </w:rPr>
      </w:pPr>
      <w:r>
        <w:rPr>
          <w:rFonts w:ascii="Calibri" w:eastAsia="Calibri" w:hAnsi="Calibri" w:cs="Calibri"/>
          <w:sz w:val="20"/>
          <w:szCs w:val="20"/>
        </w:rPr>
        <w:t>Adicional a lo anterior se cuenta con una planta temporal de doscientos (200) docentes orientadores financiada con recursos propios, la cual fue creada mediante el Decreto 256 de 202</w:t>
      </w:r>
      <w:r>
        <w:rPr>
          <w:rFonts w:ascii="Calibri" w:eastAsia="Calibri" w:hAnsi="Calibri" w:cs="Calibri"/>
          <w:color w:val="FF0000"/>
          <w:sz w:val="20"/>
          <w:szCs w:val="20"/>
        </w:rPr>
        <w:t>1</w:t>
      </w:r>
      <w:r>
        <w:rPr>
          <w:rFonts w:ascii="Calibri" w:eastAsia="Calibri" w:hAnsi="Calibri" w:cs="Calibri"/>
          <w:sz w:val="20"/>
          <w:szCs w:val="20"/>
        </w:rPr>
        <w:t>, posteriormente mediante el decreto 453 de 2021 y el decreto 453 de 2021 se prorrogaron estos cargos hasta el 30 de junio de 2024.</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Como principales antecedentes de la creación de planta de personal de docentes orientadores en el Distrito, se tiene que en el período 2012-2016 la Secretaría de Educación del Distrito definió como una de sus prioridades en los diferentes planes sectoriales trazados para Bogotá, el desarrollo de Programas como el Proyecto de Educación para la Ciudadanía y la Convivencia- PEEC, que le apostó a la transformación y fortalecimiento de la convivencia escolar mediante diferentes estrategias entre otras, la ampliación del número de docentes orientadoras y orientadores escolares para brindar herramientas pedagógicas, de atención y gestión que les permitan contar con más y mejores recursos institucionales en el desarrollo de su rol al interior de los colegios.</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Fue así como la Alcaldía Mayor de Bogotá, mediante el Decreto 311 del 11 de julio de 2013, creó unos cargos en la planta de personal docente de la Secretaría de Educación del Distrito, en planta permanente, dentro de los que se cuenta con la vinculación de nuevos docentes orientadores en el período 2012-2016, realizando la vinculación con recursos propios cargados al componente presupuestal denominado “Recurso humano para la convivencia y la ciudadanía: Disponer de Docentes orientadores para implementar las estrategias orientadas a la prevención, tratamiento, seguimiento y evaluación del conflicto escolar y la formación ciudadana de los estudiantes”. Esta vinculación se realizó de manera escalonada, entre los años 2013, 2014 y 2015, llevando a cabo dicha contratación así: para el primer año 135 nuevos docentes orientadores y para los años subsiguientes 210 respectivamente.</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La llegada de este equipo humano, permitió la ampliación en un 46,1% de su planta correspondiente a la orientación escolar (el 34,2% desde el PECC), aspecto que se constituye en uno de los avances más significativos en la última década en el Distrito y el más grande en el país, contando ahora con más de 1.440 docentes orientadores en los colegios oficiales de Bogotá, y de esta forma, fortaleciendo los procesos de promoción de la educación en salud mental, derechos y de prevención, atención seguimiento de vulneraciones y violencias, así como generando una disminución del parámetro del número de estudiantes por docente orientador, escenario que proporciona un mejor despliegue de estrategias pedagógicas.</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En este sentido, para la SED es relevante tener como referencia este antecedente, en tanto demuestra la importancia que la ciudad de Bogotá y específicamente el sector educativo le ha dado al fortalecimiento de la prevención de riesgos psicosociales, al vincular más docentes orientadores para la gestión de situaciones de vulneración en contra de niñas, niños y adolescentes, así como en el fortalecimiento de acciones de prevención de hechos victimizantes y acciones de promoción de derechos. Así mismo, es un compromiso de ciudad el trabajar por la reducción del parámetro entre el número de estudiantes en relación con el número de docentes orientadores por establecimiento educativo, garantizando así procesos de acompañamiento y atención prioritarios.</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En la misma vía, la SED sigue comprometida con la transformación y la construcción de escuelas como territorios de paz en donde se reduzcan y mitiguen las situaciones de vulneración de derechos hacia niñas, niños y adolescentes y se fortalezca el acompañamiento pedagógico a través de la promoción de los derechos humanos, sexuales y reproductivos y la prevención de violencias, discriminaciones y segregaciones, así como la atención y el seguimiento integral e intersectorial a los casos de riesgo psicosocial registrados en el Sistema de Alertas de la SED; tal es el escenario que en el anterior plan de desarrollo distrital y a través del proyecto de inversión 7643 “</w:t>
      </w:r>
      <w:r>
        <w:rPr>
          <w:rFonts w:ascii="Calibri" w:eastAsia="Calibri" w:hAnsi="Calibri" w:cs="Calibri"/>
          <w:i/>
          <w:sz w:val="20"/>
          <w:szCs w:val="20"/>
        </w:rPr>
        <w:t>implementación del programa integral de educación socioemocional, ciudadana y construcción de escuelas como territorios de paz</w:t>
      </w:r>
      <w:r>
        <w:rPr>
          <w:rFonts w:ascii="Calibri" w:eastAsia="Calibri" w:hAnsi="Calibri" w:cs="Calibri"/>
          <w:sz w:val="20"/>
          <w:szCs w:val="20"/>
        </w:rPr>
        <w:t>”, se proyectó la vinculación de 538 docentes orientadores como aporte a la construcción de una ciudad cuidadora y libre de violencias.</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b/>
          <w:sz w:val="20"/>
          <w:szCs w:val="20"/>
        </w:rPr>
        <w:t>Situación Actual</w:t>
      </w:r>
    </w:p>
    <w:p w:rsidR="002F3A39" w:rsidRDefault="002F3A39">
      <w:pPr>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Hoy se cuenta con aproximadamente 1.735 docentes orientadores, que en promedio corresponde a 428 estudiantes por docente orientador; sin embargo, pese a ello, hay instituciones educativas con más de 600 estudiantes a cargo de un solo docente orientador, de igual forma hay profesionales que son ubicados en varias sedes o jornadas, condiciones que siguen limitando el sentido y acciones propias la orientación escolar, la cual debe ser reconocida y garantizada como un derecho para todos los estudiantes. </w:t>
      </w:r>
    </w:p>
    <w:p w:rsidR="002F3A39" w:rsidRDefault="003B638A">
      <w:pPr>
        <w:jc w:val="both"/>
        <w:rPr>
          <w:rFonts w:ascii="Calibri" w:eastAsia="Calibri" w:hAnsi="Calibri" w:cs="Calibri"/>
          <w:sz w:val="20"/>
          <w:szCs w:val="20"/>
        </w:rPr>
      </w:pPr>
      <w:r>
        <w:rPr>
          <w:rFonts w:ascii="Calibri" w:eastAsia="Calibri" w:hAnsi="Calibri" w:cs="Calibri"/>
          <w:sz w:val="20"/>
          <w:szCs w:val="20"/>
        </w:rPr>
        <w:t>Adicional a ello, es de gran importancia que los docentes orientadores tengan dedicación exclusiva a sus funciones, ya que la contraloría de Bogotá el 17 de agosto de 2006, encontró hechos que denotan graves deficiencias haciendo referencia a funciones que no competen al cargo del docente orientador, situación que aún se presenta por el desconocimiento del perfil y del rol por parte de algunos directivos docentes que asignan labores que no son propias del cargo. </w:t>
      </w:r>
    </w:p>
    <w:p w:rsidR="002F3A39" w:rsidRDefault="002F3A39">
      <w:pPr>
        <w:spacing w:after="240"/>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 xml:space="preserve">Del total de esta planta de docentes orientadores, actualmente 200 se encuentran vinculados por medio de proyecto de inversión </w:t>
      </w:r>
      <w:r>
        <w:rPr>
          <w:rFonts w:ascii="Calibri" w:eastAsia="Calibri" w:hAnsi="Calibri" w:cs="Calibri"/>
          <w:i/>
          <w:sz w:val="20"/>
          <w:szCs w:val="20"/>
        </w:rPr>
        <w:t>de “educación socioemocional, ciudadana y construcción de escuelas como territorios de paz</w:t>
      </w:r>
      <w:r>
        <w:rPr>
          <w:rFonts w:ascii="Calibri" w:eastAsia="Calibri" w:hAnsi="Calibri" w:cs="Calibri"/>
          <w:sz w:val="20"/>
          <w:szCs w:val="20"/>
        </w:rPr>
        <w:t>, que representan capacidad profesional instalada al interior de los colegios con mayores afectaciones cuya continuidad es indispensable para que la SED no retroceda en este objetivo y por el contrario, Bogotá avance hacia la garantía del derecho a la orientación escolar. </w:t>
      </w:r>
    </w:p>
    <w:p w:rsidR="002F3A39" w:rsidRDefault="003B638A">
      <w:pPr>
        <w:jc w:val="both"/>
        <w:rPr>
          <w:rFonts w:ascii="Calibri" w:eastAsia="Calibri" w:hAnsi="Calibri" w:cs="Calibri"/>
          <w:sz w:val="20"/>
          <w:szCs w:val="20"/>
        </w:rPr>
      </w:pPr>
      <w:r>
        <w:rPr>
          <w:rFonts w:ascii="Calibri" w:eastAsia="Calibri" w:hAnsi="Calibri" w:cs="Calibri"/>
          <w:sz w:val="20"/>
          <w:szCs w:val="20"/>
        </w:rPr>
        <w:t>Sin embargo, de acuerdo al parámetro técnico establecido y recomendado por la UNESCO, de un (1) docente orientador por máximo 250 estudiantes, Bogotá requeriría un total de 2.900 docentes orientadores para saldar esta deuda histórica. Es decir, que adicional a los 1.735 actuales, la ciudad puede proyectar ampliación de planta de hasta 1.165 docentes orientadores, valiéndose para ello de: el uso de la lista de elegibles vigente OPEC 184960, la re vinculación en provisionalidad de los más de 400 docentes que pese a salir del magisterio cuentan experiencia profesional específica y/o la gestión para un nuevo concurso de méritos que estabilice la planta de personal en esta área, cuya inversión pública redundaría en efectos de carácter preventivo con incidencia en el acompañamiento a las trayectorias de vida de los estudiantes, y un aporte a un generación escolar y ciudadana con mejores habilidades emocionales.</w:t>
      </w:r>
    </w:p>
    <w:p w:rsidR="002F3A39" w:rsidRDefault="002F3A39">
      <w:pPr>
        <w:jc w:val="both"/>
        <w:rPr>
          <w:rFonts w:ascii="Calibri" w:eastAsia="Calibri" w:hAnsi="Calibri" w:cs="Calibri"/>
          <w:b/>
          <w:sz w:val="20"/>
          <w:szCs w:val="20"/>
        </w:rPr>
      </w:pPr>
    </w:p>
    <w:p w:rsidR="002F3A39" w:rsidRDefault="003B638A">
      <w:pPr>
        <w:spacing w:after="240"/>
        <w:jc w:val="both"/>
        <w:rPr>
          <w:rFonts w:ascii="Calibri" w:eastAsia="Calibri" w:hAnsi="Calibri" w:cs="Calibri"/>
          <w:sz w:val="20"/>
          <w:szCs w:val="20"/>
        </w:rPr>
      </w:pPr>
      <w:r>
        <w:rPr>
          <w:rFonts w:ascii="Calibri" w:eastAsia="Calibri" w:hAnsi="Calibri" w:cs="Calibri"/>
          <w:b/>
          <w:sz w:val="20"/>
          <w:szCs w:val="20"/>
        </w:rPr>
        <w:t>El presente proyecto de acuerdo igualmente se encuentra fundamentado por el Código de la Infancia y la Adolescencia expedida por el congreso colombiano Ley 1098 de 2006, donde se estipula:</w:t>
      </w:r>
    </w:p>
    <w:p w:rsidR="002F3A39" w:rsidRDefault="003B638A">
      <w:pPr>
        <w:spacing w:after="240"/>
        <w:jc w:val="both"/>
        <w:rPr>
          <w:rFonts w:ascii="Calibri" w:eastAsia="Calibri" w:hAnsi="Calibri" w:cs="Calibri"/>
          <w:sz w:val="20"/>
          <w:szCs w:val="20"/>
        </w:rPr>
      </w:pPr>
      <w:r>
        <w:rPr>
          <w:rFonts w:ascii="Calibri" w:eastAsia="Calibri" w:hAnsi="Calibri" w:cs="Calibri"/>
          <w:sz w:val="20"/>
          <w:szCs w:val="20"/>
        </w:rPr>
        <w:t xml:space="preserve"> (..) </w:t>
      </w:r>
      <w:r>
        <w:rPr>
          <w:rFonts w:ascii="Calibri" w:eastAsia="Calibri" w:hAnsi="Calibri" w:cs="Calibri"/>
          <w:b/>
          <w:sz w:val="20"/>
          <w:szCs w:val="20"/>
        </w:rPr>
        <w:t>Artículo 8°. </w:t>
      </w:r>
      <w:r>
        <w:rPr>
          <w:rFonts w:ascii="Calibri" w:eastAsia="Calibri" w:hAnsi="Calibri" w:cs="Calibri"/>
          <w:sz w:val="20"/>
          <w:szCs w:val="20"/>
        </w:rPr>
        <w:t>Interés superior de los niños, las niñas y los adolescentes. Se entiende por interés superior del niño, niña y adolescente, el imperativo que obliga a todas las personas a garantizar la satisfacción integral y simultánea de todos sus Derechos Humanos, que son universales, prevalentes e interdependientes.</w:t>
      </w:r>
    </w:p>
    <w:p w:rsidR="002F3A39" w:rsidRDefault="003B638A">
      <w:pPr>
        <w:jc w:val="both"/>
        <w:rPr>
          <w:rFonts w:ascii="Calibri" w:eastAsia="Calibri" w:hAnsi="Calibri" w:cs="Calibri"/>
          <w:sz w:val="20"/>
          <w:szCs w:val="20"/>
        </w:rPr>
      </w:pPr>
      <w:r>
        <w:rPr>
          <w:rFonts w:ascii="Calibri" w:eastAsia="Calibri" w:hAnsi="Calibri" w:cs="Calibri"/>
          <w:sz w:val="20"/>
          <w:szCs w:val="20"/>
        </w:rPr>
        <w:t> </w:t>
      </w:r>
      <w:r>
        <w:rPr>
          <w:rFonts w:ascii="Calibri" w:eastAsia="Calibri" w:hAnsi="Calibri" w:cs="Calibri"/>
          <w:b/>
          <w:sz w:val="20"/>
          <w:szCs w:val="20"/>
        </w:rPr>
        <w:t>Artículo 28. Derecho a la educación. Los niños, las niñas y los adolescentes tienen derecho a una educación de calidad. </w:t>
      </w:r>
      <w:r>
        <w:rPr>
          <w:rFonts w:ascii="Calibri" w:eastAsia="Calibri" w:hAnsi="Calibri" w:cs="Calibri"/>
          <w:sz w:val="20"/>
          <w:szCs w:val="20"/>
        </w:rPr>
        <w:t>Esta será obligatoria por parte del Estado en un año de pre-escolar y nueve de educación básica. La educación será gratuita en las instituciones estatales de acuerdo con los términos establecidos en la Constitución Política. Incurrirá en multa hasta de 20 salarios mínimos quienes se abstengan de recibir a un niño en los establecimientos públicos de educación.</w:t>
      </w:r>
    </w:p>
    <w:p w:rsidR="002F3A39" w:rsidRDefault="003B638A">
      <w:pPr>
        <w:jc w:val="both"/>
        <w:rPr>
          <w:rFonts w:ascii="Calibri" w:eastAsia="Calibri" w:hAnsi="Calibri" w:cs="Calibri"/>
          <w:sz w:val="20"/>
          <w:szCs w:val="20"/>
        </w:rPr>
      </w:pPr>
      <w:r>
        <w:rPr>
          <w:rFonts w:ascii="Calibri" w:eastAsia="Calibri" w:hAnsi="Calibri" w:cs="Calibri"/>
          <w:sz w:val="20"/>
          <w:szCs w:val="20"/>
        </w:rPr>
        <w:t> </w:t>
      </w:r>
    </w:p>
    <w:p w:rsidR="002F3A39" w:rsidRDefault="003B638A">
      <w:pPr>
        <w:jc w:val="both"/>
        <w:rPr>
          <w:rFonts w:ascii="Calibri" w:eastAsia="Calibri" w:hAnsi="Calibri" w:cs="Calibri"/>
          <w:sz w:val="20"/>
          <w:szCs w:val="20"/>
        </w:rPr>
      </w:pPr>
      <w:r>
        <w:rPr>
          <w:rFonts w:ascii="Calibri" w:eastAsia="Calibri" w:hAnsi="Calibri" w:cs="Calibri"/>
          <w:b/>
          <w:sz w:val="20"/>
          <w:szCs w:val="20"/>
        </w:rPr>
        <w:t>Artículo 29. Derecho al desarrollo integral en la primera infancia. La primera infancia es la etapa del ciclo vital en la que se establecen las bases para el desarrollo cognitivo, emocional y social del ser humano. Comprende la franja poblacional que va de los cero (0) a los seis (6) años de edad. Desde la primera infancia, los niños y las niñas son sujetos titulares de los derechos reconocidos en los tratados internacionales, en la Constitución Política y en este Código.</w:t>
      </w:r>
      <w:r>
        <w:rPr>
          <w:rFonts w:ascii="Calibri" w:eastAsia="Calibri" w:hAnsi="Calibri" w:cs="Calibri"/>
          <w:sz w:val="20"/>
          <w:szCs w:val="20"/>
        </w:rPr>
        <w:t> Son derechos impostergables de la primera infancia, la atención en salud y nutrición, el esquema completo de vacunación, la protección contra los peligros físicos y la educación inicial. En el primer mes de vida deberá garantizarse el registro civil de todos los niños y las niñas.</w:t>
      </w:r>
    </w:p>
    <w:p w:rsidR="002F3A39" w:rsidRDefault="003B638A">
      <w:pPr>
        <w:jc w:val="both"/>
        <w:rPr>
          <w:rFonts w:ascii="Calibri" w:eastAsia="Calibri" w:hAnsi="Calibri" w:cs="Calibri"/>
          <w:sz w:val="20"/>
          <w:szCs w:val="20"/>
        </w:rPr>
      </w:pPr>
      <w:r>
        <w:rPr>
          <w:rFonts w:ascii="Calibri" w:eastAsia="Calibri" w:hAnsi="Calibri" w:cs="Calibri"/>
          <w:sz w:val="20"/>
          <w:szCs w:val="20"/>
        </w:rPr>
        <w:t> </w:t>
      </w:r>
    </w:p>
    <w:p w:rsidR="002F3A39" w:rsidRDefault="003B638A">
      <w:pPr>
        <w:jc w:val="both"/>
        <w:rPr>
          <w:rFonts w:ascii="Calibri" w:eastAsia="Calibri" w:hAnsi="Calibri" w:cs="Calibri"/>
          <w:sz w:val="20"/>
          <w:szCs w:val="20"/>
        </w:rPr>
      </w:pPr>
      <w:r>
        <w:rPr>
          <w:rFonts w:ascii="Calibri" w:eastAsia="Calibri" w:hAnsi="Calibri" w:cs="Calibri"/>
          <w:b/>
          <w:sz w:val="20"/>
          <w:szCs w:val="20"/>
        </w:rPr>
        <w:t>Artículo 41.</w:t>
      </w:r>
      <w:r>
        <w:rPr>
          <w:rFonts w:ascii="Calibri" w:eastAsia="Calibri" w:hAnsi="Calibri" w:cs="Calibri"/>
          <w:sz w:val="20"/>
          <w:szCs w:val="20"/>
        </w:rPr>
        <w:t> Obligaciones del Estado. El Estado es el contexto institucional en el desarrollo integral de los niños, las niñas y los adolescentes. En cumplimiento de sus funciones en los niveles nacional, departamental, distrital y municipal deberá:</w:t>
      </w:r>
    </w:p>
    <w:p w:rsidR="002F3A39" w:rsidRDefault="003B638A">
      <w:pPr>
        <w:jc w:val="both"/>
        <w:rPr>
          <w:rFonts w:ascii="Calibri" w:eastAsia="Calibri" w:hAnsi="Calibri" w:cs="Calibri"/>
          <w:sz w:val="20"/>
          <w:szCs w:val="20"/>
        </w:rPr>
      </w:pPr>
      <w:r>
        <w:rPr>
          <w:rFonts w:ascii="Calibri" w:eastAsia="Calibri" w:hAnsi="Calibri" w:cs="Calibri"/>
          <w:sz w:val="20"/>
          <w:szCs w:val="20"/>
        </w:rPr>
        <w:t> </w:t>
      </w:r>
    </w:p>
    <w:p w:rsidR="002F3A39" w:rsidRDefault="003B638A">
      <w:pPr>
        <w:spacing w:after="240"/>
        <w:ind w:left="709"/>
        <w:jc w:val="both"/>
        <w:rPr>
          <w:rFonts w:ascii="Calibri" w:eastAsia="Calibri" w:hAnsi="Calibri" w:cs="Calibri"/>
          <w:sz w:val="20"/>
          <w:szCs w:val="20"/>
        </w:rPr>
      </w:pPr>
      <w:r>
        <w:rPr>
          <w:rFonts w:ascii="Calibri" w:eastAsia="Calibri" w:hAnsi="Calibri" w:cs="Calibri"/>
          <w:sz w:val="20"/>
          <w:szCs w:val="20"/>
        </w:rPr>
        <w:t>9. Formar a los niños, las niñas y los adolescentes y a las familias en la cultura del respeto a la dignidad, el reconocimiento de los derechos de los demás, la convivencia democrática y los valores humanos y en la solución pacífica de los conflictos.</w:t>
      </w:r>
    </w:p>
    <w:p w:rsidR="002F3A39" w:rsidRDefault="003B638A">
      <w:pPr>
        <w:spacing w:after="240"/>
        <w:ind w:left="709"/>
        <w:jc w:val="both"/>
        <w:rPr>
          <w:rFonts w:ascii="Calibri" w:eastAsia="Calibri" w:hAnsi="Calibri" w:cs="Calibri"/>
          <w:sz w:val="20"/>
          <w:szCs w:val="20"/>
        </w:rPr>
      </w:pPr>
      <w:r>
        <w:rPr>
          <w:rFonts w:ascii="Calibri" w:eastAsia="Calibri" w:hAnsi="Calibri" w:cs="Calibri"/>
          <w:sz w:val="20"/>
          <w:szCs w:val="20"/>
        </w:rPr>
        <w:t>19. Garantizar un ambiente escolar respetuoso de la dignidad y los Derechos Humanos de los niños, las niñas y los adolescentes y desarrollar programas de formación de maestros para la promoción del buen trato.</w:t>
      </w:r>
    </w:p>
    <w:p w:rsidR="002F3A39" w:rsidRDefault="003B638A">
      <w:pPr>
        <w:spacing w:after="240"/>
        <w:ind w:left="709"/>
        <w:jc w:val="both"/>
        <w:rPr>
          <w:rFonts w:ascii="Calibri" w:eastAsia="Calibri" w:hAnsi="Calibri" w:cs="Calibri"/>
          <w:sz w:val="20"/>
          <w:szCs w:val="20"/>
        </w:rPr>
      </w:pPr>
      <w:r>
        <w:rPr>
          <w:rFonts w:ascii="Calibri" w:eastAsia="Calibri" w:hAnsi="Calibri" w:cs="Calibri"/>
          <w:sz w:val="20"/>
          <w:szCs w:val="20"/>
        </w:rPr>
        <w:t>20. Erradicar del sistema educativo las prácticas pedagógicas discriminatorias o excluyentes y las sanciones que conlleven maltrato, o menoscabo de la dignidad o integridad física, psicológica o moral de los niños, las niñas y los adolescentes.</w:t>
      </w:r>
    </w:p>
    <w:p w:rsidR="002F3A39" w:rsidRDefault="003B638A">
      <w:pPr>
        <w:spacing w:after="240"/>
        <w:jc w:val="both"/>
        <w:rPr>
          <w:rFonts w:ascii="Calibri" w:eastAsia="Calibri" w:hAnsi="Calibri" w:cs="Calibri"/>
          <w:b/>
          <w:sz w:val="20"/>
          <w:szCs w:val="20"/>
        </w:rPr>
      </w:pPr>
      <w:r>
        <w:rPr>
          <w:rFonts w:ascii="Calibri" w:eastAsia="Calibri" w:hAnsi="Calibri" w:cs="Calibri"/>
          <w:b/>
          <w:sz w:val="20"/>
          <w:szCs w:val="20"/>
        </w:rPr>
        <w:t>4.2. OTRAS NORMAS</w:t>
      </w:r>
    </w:p>
    <w:p w:rsidR="002F3A39" w:rsidRDefault="003B638A">
      <w:pPr>
        <w:spacing w:after="240"/>
        <w:jc w:val="both"/>
        <w:rPr>
          <w:rFonts w:ascii="Calibri" w:eastAsia="Calibri" w:hAnsi="Calibri" w:cs="Calibri"/>
          <w:sz w:val="20"/>
          <w:szCs w:val="20"/>
        </w:rPr>
      </w:pPr>
      <w:r>
        <w:rPr>
          <w:rFonts w:ascii="Calibri" w:eastAsia="Calibri" w:hAnsi="Calibri" w:cs="Calibri"/>
          <w:b/>
          <w:sz w:val="20"/>
          <w:szCs w:val="20"/>
        </w:rPr>
        <w:t xml:space="preserve">4.2.1 </w:t>
      </w:r>
      <w:r>
        <w:rPr>
          <w:rFonts w:ascii="Calibri" w:eastAsia="Calibri" w:hAnsi="Calibri" w:cs="Calibri"/>
          <w:sz w:val="20"/>
          <w:szCs w:val="20"/>
        </w:rPr>
        <w:t>Ley 100 de 1993, “Por la cual se crea el Sistema de Seguridad Social Integral y se dictan otras disposiciones. Si bien se enfoca principalmente en los aspectos relacionados de servicios de salud, también establece la responsabilidad de promover la salud y prevenir las enfermedades. En este sentido el sistema debe implementar estrategias de promoción de la salud mental, que incluyan acciones educativas, campañas de prevención y promoción de estilos de vida saludables.</w:t>
      </w:r>
    </w:p>
    <w:p w:rsidR="002F3A39" w:rsidRDefault="003B638A">
      <w:pPr>
        <w:jc w:val="both"/>
        <w:rPr>
          <w:rFonts w:ascii="Calibri" w:eastAsia="Calibri" w:hAnsi="Calibri" w:cs="Calibri"/>
          <w:b/>
          <w:sz w:val="20"/>
          <w:szCs w:val="20"/>
        </w:rPr>
      </w:pPr>
      <w:r>
        <w:rPr>
          <w:rFonts w:ascii="Calibri" w:eastAsia="Calibri" w:hAnsi="Calibri" w:cs="Calibri"/>
          <w:b/>
          <w:sz w:val="20"/>
          <w:szCs w:val="20"/>
        </w:rPr>
        <w:t>6. IMPACTO FISCAL</w:t>
      </w:r>
    </w:p>
    <w:p w:rsidR="002F3A39" w:rsidRDefault="002F3A39">
      <w:pPr>
        <w:jc w:val="both"/>
        <w:rPr>
          <w:rFonts w:ascii="Calibri" w:eastAsia="Calibri" w:hAnsi="Calibri" w:cs="Calibri"/>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El presente proyecto de acuerdo no tiene impacto fiscal, toda vez que su implementación no demanda recursos nuevos en los cuales deba recurrir el Distrito Capital, atendiendo lo preceptuado en el artículo 7 de la ley 819 de 2003, dado que ya se encuentran presupuestos en el Plan de Desarrollo.</w:t>
      </w:r>
    </w:p>
    <w:p w:rsidR="002F3A39" w:rsidRDefault="002F3A39">
      <w:pPr>
        <w:jc w:val="both"/>
        <w:rPr>
          <w:rFonts w:ascii="Calibri" w:eastAsia="Calibri" w:hAnsi="Calibri" w:cs="Calibri"/>
          <w:sz w:val="20"/>
          <w:szCs w:val="20"/>
        </w:rPr>
      </w:pPr>
    </w:p>
    <w:p w:rsidR="002F3A39" w:rsidRDefault="003B638A">
      <w:pPr>
        <w:spacing w:before="280" w:after="280"/>
        <w:jc w:val="both"/>
        <w:rPr>
          <w:rFonts w:ascii="Calibri" w:eastAsia="Calibri" w:hAnsi="Calibri" w:cs="Calibri"/>
          <w:sz w:val="20"/>
          <w:szCs w:val="20"/>
        </w:rPr>
      </w:pPr>
      <w:r>
        <w:rPr>
          <w:rFonts w:ascii="Calibri" w:eastAsia="Calibri" w:hAnsi="Calibri" w:cs="Calibri"/>
          <w:sz w:val="20"/>
          <w:szCs w:val="20"/>
        </w:rPr>
        <w:t>Cordial Saludo,</w:t>
      </w:r>
      <w:r w:rsidR="00787013" w:rsidRPr="00787013">
        <w:rPr>
          <w:noProof/>
        </w:rPr>
        <w:t xml:space="preserve"> </w:t>
      </w:r>
    </w:p>
    <w:p w:rsidR="002F3A39" w:rsidRDefault="002F3A39" w:rsidP="00787013">
      <w:pPr>
        <w:spacing w:before="280" w:after="280"/>
        <w:jc w:val="both"/>
        <w:rPr>
          <w:rFonts w:ascii="Calibri" w:eastAsia="Calibri" w:hAnsi="Calibri" w:cs="Calibri"/>
          <w:sz w:val="20"/>
          <w:szCs w:val="20"/>
        </w:rPr>
      </w:pPr>
    </w:p>
    <w:p w:rsidR="00787013" w:rsidRDefault="00787013" w:rsidP="00787013">
      <w:pPr>
        <w:spacing w:before="280" w:after="280"/>
        <w:jc w:val="both"/>
        <w:rPr>
          <w:rFonts w:ascii="Calibri" w:eastAsia="Calibri" w:hAnsi="Calibri" w:cs="Calibri"/>
          <w:sz w:val="20"/>
          <w:szCs w:val="20"/>
        </w:rPr>
      </w:pPr>
    </w:p>
    <w:p w:rsidR="002F3A39" w:rsidRDefault="003B638A">
      <w:pPr>
        <w:jc w:val="both"/>
        <w:rPr>
          <w:rFonts w:ascii="Calibri" w:eastAsia="Calibri" w:hAnsi="Calibri" w:cs="Calibri"/>
          <w:b/>
          <w:sz w:val="20"/>
          <w:szCs w:val="20"/>
        </w:rPr>
      </w:pPr>
      <w:r>
        <w:rPr>
          <w:rFonts w:ascii="Calibri" w:eastAsia="Calibri" w:hAnsi="Calibri" w:cs="Calibri"/>
          <w:b/>
          <w:sz w:val="20"/>
          <w:szCs w:val="20"/>
        </w:rPr>
        <w:t>DONKA ATANASSOVA IAKIMOVA</w:t>
      </w:r>
    </w:p>
    <w:p w:rsidR="002F3A39" w:rsidRDefault="003B638A">
      <w:pPr>
        <w:jc w:val="both"/>
        <w:rPr>
          <w:rFonts w:ascii="Calibri" w:eastAsia="Calibri" w:hAnsi="Calibri" w:cs="Calibri"/>
          <w:sz w:val="20"/>
          <w:szCs w:val="20"/>
        </w:rPr>
      </w:pPr>
      <w:r>
        <w:rPr>
          <w:rFonts w:ascii="Calibri" w:eastAsia="Calibri" w:hAnsi="Calibri" w:cs="Calibri"/>
          <w:sz w:val="20"/>
          <w:szCs w:val="20"/>
        </w:rPr>
        <w:t>Concejala Polo Democrático Alternativo PDA</w:t>
      </w:r>
    </w:p>
    <w:p w:rsidR="002F3A39" w:rsidRDefault="003B638A">
      <w:pPr>
        <w:jc w:val="both"/>
        <w:rPr>
          <w:rFonts w:ascii="Calibri" w:eastAsia="Calibri" w:hAnsi="Calibri" w:cs="Calibri"/>
          <w:sz w:val="20"/>
          <w:szCs w:val="20"/>
        </w:rPr>
      </w:pPr>
      <w:r>
        <w:rPr>
          <w:rFonts w:ascii="Calibri" w:eastAsia="Calibri" w:hAnsi="Calibri" w:cs="Calibri"/>
          <w:sz w:val="20"/>
          <w:szCs w:val="20"/>
        </w:rPr>
        <w:t xml:space="preserve">Bancada Pacto Histórico  </w:t>
      </w:r>
    </w:p>
    <w:p w:rsidR="002F3A39" w:rsidRDefault="002F3A39">
      <w:pPr>
        <w:spacing w:before="280" w:after="280"/>
        <w:jc w:val="both"/>
        <w:rPr>
          <w:rFonts w:ascii="Calibri" w:eastAsia="Calibri" w:hAnsi="Calibri" w:cs="Calibri"/>
          <w:b/>
          <w:sz w:val="20"/>
          <w:szCs w:val="20"/>
        </w:rPr>
      </w:pPr>
    </w:p>
    <w:p w:rsidR="00787013" w:rsidRDefault="00787013">
      <w:pPr>
        <w:spacing w:before="280" w:after="280"/>
        <w:jc w:val="both"/>
        <w:rPr>
          <w:rFonts w:ascii="Calibri" w:eastAsia="Calibri" w:hAnsi="Calibri" w:cs="Calibri"/>
          <w:b/>
          <w:sz w:val="20"/>
          <w:szCs w:val="20"/>
        </w:rPr>
      </w:pPr>
    </w:p>
    <w:p w:rsidR="00787013" w:rsidRDefault="00787013">
      <w:pPr>
        <w:spacing w:before="280" w:after="280"/>
        <w:jc w:val="both"/>
        <w:rPr>
          <w:rFonts w:ascii="Calibri" w:eastAsia="Calibri" w:hAnsi="Calibri" w:cs="Calibri"/>
          <w:b/>
          <w:sz w:val="20"/>
          <w:szCs w:val="20"/>
        </w:rPr>
      </w:pPr>
    </w:p>
    <w:p w:rsidR="00787013" w:rsidRDefault="00787013">
      <w:pPr>
        <w:spacing w:before="280" w:after="280"/>
        <w:jc w:val="both"/>
        <w:rPr>
          <w:rFonts w:ascii="Calibri" w:eastAsia="Calibri" w:hAnsi="Calibri" w:cs="Calibri"/>
          <w:b/>
          <w:sz w:val="20"/>
          <w:szCs w:val="20"/>
        </w:rPr>
      </w:pPr>
    </w:p>
    <w:p w:rsidR="00787013" w:rsidRDefault="00787013">
      <w:pPr>
        <w:spacing w:before="280" w:after="280"/>
        <w:jc w:val="both"/>
        <w:rPr>
          <w:rFonts w:ascii="Calibri" w:eastAsia="Calibri" w:hAnsi="Calibri" w:cs="Calibri"/>
          <w:b/>
          <w:sz w:val="20"/>
          <w:szCs w:val="20"/>
        </w:rPr>
      </w:pPr>
    </w:p>
    <w:p w:rsidR="002F3A39" w:rsidRDefault="003B638A">
      <w:pPr>
        <w:jc w:val="center"/>
        <w:rPr>
          <w:rFonts w:ascii="Calibri" w:eastAsia="Calibri" w:hAnsi="Calibri" w:cs="Calibri"/>
          <w:b/>
          <w:sz w:val="20"/>
          <w:szCs w:val="20"/>
        </w:rPr>
      </w:pPr>
      <w:r>
        <w:rPr>
          <w:rFonts w:ascii="Calibri" w:eastAsia="Calibri" w:hAnsi="Calibri" w:cs="Calibri"/>
          <w:b/>
          <w:sz w:val="20"/>
          <w:szCs w:val="20"/>
        </w:rPr>
        <w:t xml:space="preserve">PROYECTO DE ACUERDO N.º </w:t>
      </w:r>
      <w:r>
        <w:rPr>
          <w:rFonts w:ascii="Calibri" w:eastAsia="Calibri" w:hAnsi="Calibri" w:cs="Calibri"/>
          <w:b/>
          <w:sz w:val="20"/>
          <w:szCs w:val="20"/>
          <w:u w:val="single"/>
        </w:rPr>
        <w:t xml:space="preserve">    </w:t>
      </w:r>
      <w:r>
        <w:rPr>
          <w:rFonts w:ascii="Calibri" w:eastAsia="Calibri" w:hAnsi="Calibri" w:cs="Calibri"/>
          <w:b/>
          <w:sz w:val="20"/>
          <w:szCs w:val="20"/>
        </w:rPr>
        <w:t>2025</w:t>
      </w:r>
    </w:p>
    <w:p w:rsidR="002F3A39" w:rsidRDefault="002F3A39">
      <w:pPr>
        <w:jc w:val="center"/>
        <w:rPr>
          <w:rFonts w:ascii="Calibri" w:eastAsia="Calibri" w:hAnsi="Calibri" w:cs="Calibri"/>
          <w:b/>
          <w:sz w:val="20"/>
          <w:szCs w:val="20"/>
        </w:rPr>
      </w:pPr>
    </w:p>
    <w:p w:rsidR="002F3A39" w:rsidRDefault="003B638A">
      <w:pPr>
        <w:jc w:val="center"/>
        <w:rPr>
          <w:rFonts w:ascii="Calibri" w:eastAsia="Calibri" w:hAnsi="Calibri" w:cs="Calibri"/>
          <w:b/>
          <w:i/>
          <w:sz w:val="20"/>
          <w:szCs w:val="20"/>
        </w:rPr>
      </w:pPr>
      <w:r>
        <w:rPr>
          <w:rFonts w:ascii="Calibri" w:eastAsia="Calibri" w:hAnsi="Calibri" w:cs="Calibri"/>
          <w:b/>
          <w:i/>
          <w:sz w:val="20"/>
          <w:szCs w:val="20"/>
        </w:rPr>
        <w:t>POR MEDIO DEL CUAL SE DICTAN LINEAMIENTOS PARA FORTALECER LA PROMOCIÓN Y PREVENCIÓN DE LA SALUD MENTAL EN LOS NIÑOS, ADOLESCENTES Y JÓVENES EN LAS INSTITUCIONES EDUCATIVAS DEL ÁMBITO ESCOLAR DEL DISTRITO CAPITAL Y SE DICTAN OTRAS DISPOSICIONES</w:t>
      </w:r>
    </w:p>
    <w:p w:rsidR="00961D95" w:rsidRDefault="00961D95">
      <w:pPr>
        <w:jc w:val="center"/>
        <w:rPr>
          <w:rFonts w:ascii="Calibri" w:eastAsia="Calibri" w:hAnsi="Calibri" w:cs="Calibri"/>
          <w:b/>
          <w:sz w:val="20"/>
          <w:szCs w:val="20"/>
        </w:rPr>
      </w:pPr>
    </w:p>
    <w:p w:rsidR="002F3A39" w:rsidRDefault="002F3A39">
      <w:pPr>
        <w:jc w:val="center"/>
        <w:rPr>
          <w:rFonts w:ascii="Calibri" w:eastAsia="Calibri" w:hAnsi="Calibri" w:cs="Calibri"/>
          <w:b/>
          <w:sz w:val="20"/>
          <w:szCs w:val="20"/>
        </w:rPr>
      </w:pPr>
    </w:p>
    <w:p w:rsidR="002F3A39" w:rsidRDefault="003B638A">
      <w:pPr>
        <w:jc w:val="both"/>
        <w:rPr>
          <w:rFonts w:ascii="Calibri" w:eastAsia="Calibri" w:hAnsi="Calibri" w:cs="Calibri"/>
          <w:sz w:val="20"/>
          <w:szCs w:val="20"/>
        </w:rPr>
      </w:pPr>
      <w:r>
        <w:rPr>
          <w:rFonts w:ascii="Calibri" w:eastAsia="Calibri" w:hAnsi="Calibri" w:cs="Calibri"/>
          <w:sz w:val="20"/>
          <w:szCs w:val="20"/>
        </w:rPr>
        <w:t>El Concejo de Bogotá en ejercicio de sus atribuciones constitucionales y legales, en especial, las conferidas el numeral 1º del artículo 12 del Decreto Ley 1421 de 1993.</w:t>
      </w:r>
    </w:p>
    <w:p w:rsidR="002F3A39" w:rsidRDefault="002F3A39">
      <w:pPr>
        <w:jc w:val="both"/>
        <w:rPr>
          <w:rFonts w:ascii="Calibri" w:eastAsia="Calibri" w:hAnsi="Calibri" w:cs="Calibri"/>
          <w:sz w:val="20"/>
          <w:szCs w:val="20"/>
        </w:rPr>
      </w:pPr>
    </w:p>
    <w:p w:rsidR="002F3A39" w:rsidRDefault="003B638A">
      <w:pPr>
        <w:jc w:val="center"/>
        <w:rPr>
          <w:rFonts w:ascii="Calibri" w:eastAsia="Calibri" w:hAnsi="Calibri" w:cs="Calibri"/>
          <w:b/>
          <w:sz w:val="20"/>
          <w:szCs w:val="20"/>
        </w:rPr>
      </w:pPr>
      <w:r>
        <w:rPr>
          <w:rFonts w:ascii="Calibri" w:eastAsia="Calibri" w:hAnsi="Calibri" w:cs="Calibri"/>
          <w:b/>
          <w:sz w:val="20"/>
          <w:szCs w:val="20"/>
        </w:rPr>
        <w:t>A C U E R D A</w:t>
      </w:r>
    </w:p>
    <w:p w:rsidR="002F3A39" w:rsidRDefault="002F3A39">
      <w:pPr>
        <w:jc w:val="both"/>
        <w:rPr>
          <w:rFonts w:ascii="Calibri" w:eastAsia="Calibri" w:hAnsi="Calibri" w:cs="Calibri"/>
          <w:sz w:val="20"/>
          <w:szCs w:val="20"/>
        </w:rPr>
      </w:pPr>
    </w:p>
    <w:p w:rsidR="002F3A39" w:rsidRDefault="003B638A">
      <w:pPr>
        <w:pBdr>
          <w:top w:val="nil"/>
          <w:left w:val="nil"/>
          <w:bottom w:val="nil"/>
          <w:right w:val="nil"/>
          <w:between w:val="nil"/>
        </w:pBdr>
        <w:spacing w:after="160"/>
        <w:jc w:val="both"/>
        <w:rPr>
          <w:rFonts w:ascii="Calibri" w:eastAsia="Calibri" w:hAnsi="Calibri" w:cs="Calibri"/>
          <w:b/>
          <w:sz w:val="20"/>
          <w:szCs w:val="20"/>
        </w:rPr>
      </w:pPr>
      <w:r>
        <w:rPr>
          <w:rFonts w:ascii="Calibri" w:eastAsia="Calibri" w:hAnsi="Calibri" w:cs="Calibri"/>
          <w:b/>
          <w:sz w:val="20"/>
          <w:szCs w:val="20"/>
        </w:rPr>
        <w:t>ARTÍCULO 1º - OBJETO</w:t>
      </w:r>
    </w:p>
    <w:p w:rsidR="002F3A39" w:rsidRDefault="003B638A">
      <w:pPr>
        <w:spacing w:after="240"/>
        <w:jc w:val="both"/>
        <w:rPr>
          <w:rFonts w:ascii="Calibri" w:eastAsia="Calibri" w:hAnsi="Calibri" w:cs="Calibri"/>
          <w:sz w:val="20"/>
          <w:szCs w:val="20"/>
        </w:rPr>
      </w:pPr>
      <w:bookmarkStart w:id="5" w:name="_heading=h.2et92p0" w:colFirst="0" w:colLast="0"/>
      <w:bookmarkEnd w:id="5"/>
      <w:r>
        <w:rPr>
          <w:rFonts w:ascii="Calibri" w:eastAsia="Calibri" w:hAnsi="Calibri" w:cs="Calibri"/>
          <w:sz w:val="20"/>
          <w:szCs w:val="20"/>
        </w:rPr>
        <w:t>El presente Proyecto de Acuerdo tiene por objeto</w:t>
      </w:r>
      <w:r>
        <w:rPr>
          <w:rFonts w:ascii="Calibri" w:eastAsia="Calibri" w:hAnsi="Calibri" w:cs="Calibri"/>
          <w:b/>
          <w:sz w:val="20"/>
          <w:szCs w:val="20"/>
        </w:rPr>
        <w:t xml:space="preserve"> </w:t>
      </w:r>
      <w:r>
        <w:rPr>
          <w:rFonts w:ascii="Calibri" w:eastAsia="Calibri" w:hAnsi="Calibri" w:cs="Calibri"/>
          <w:sz w:val="20"/>
          <w:szCs w:val="20"/>
        </w:rPr>
        <w:t xml:space="preserve">dictar lineamientos para fortalecer la promoción y prevención de la salud mental en los niños, adolescentes y jóvenes en las instituciones educativas del Distrito capital del ámbito escolar tendientes a mejorar las habilidades psicosociales individuales y colectivas en pro de la salud mental, la gestión de entornos escolares protectores y la articulación con los servicios de salud mental. </w:t>
      </w:r>
    </w:p>
    <w:p w:rsidR="002F3A39" w:rsidRDefault="003B638A">
      <w:pPr>
        <w:pBdr>
          <w:top w:val="nil"/>
          <w:left w:val="nil"/>
          <w:bottom w:val="nil"/>
          <w:right w:val="nil"/>
          <w:between w:val="nil"/>
        </w:pBdr>
        <w:spacing w:after="240"/>
        <w:jc w:val="both"/>
        <w:rPr>
          <w:rFonts w:ascii="Calibri" w:eastAsia="Calibri" w:hAnsi="Calibri" w:cs="Calibri"/>
          <w:b/>
          <w:sz w:val="20"/>
          <w:szCs w:val="20"/>
        </w:rPr>
      </w:pPr>
      <w:r>
        <w:rPr>
          <w:rFonts w:ascii="Calibri" w:eastAsia="Calibri" w:hAnsi="Calibri" w:cs="Calibri"/>
          <w:b/>
          <w:sz w:val="20"/>
          <w:szCs w:val="20"/>
        </w:rPr>
        <w:t>ARTÍCULO 2º- ESTRATEGIA</w:t>
      </w:r>
    </w:p>
    <w:p w:rsidR="002F3A39" w:rsidRDefault="003B638A">
      <w:pPr>
        <w:pBdr>
          <w:top w:val="nil"/>
          <w:left w:val="nil"/>
          <w:bottom w:val="nil"/>
          <w:right w:val="nil"/>
          <w:between w:val="nil"/>
        </w:pBdr>
        <w:spacing w:after="160"/>
        <w:jc w:val="both"/>
        <w:rPr>
          <w:rFonts w:ascii="Calibri" w:eastAsia="Calibri" w:hAnsi="Calibri" w:cs="Calibri"/>
          <w:sz w:val="20"/>
          <w:szCs w:val="20"/>
        </w:rPr>
      </w:pPr>
      <w:r>
        <w:rPr>
          <w:rFonts w:ascii="Calibri" w:eastAsia="Calibri" w:hAnsi="Calibri" w:cs="Calibri"/>
          <w:sz w:val="20"/>
          <w:szCs w:val="20"/>
        </w:rPr>
        <w:t>La Administración Distrital en cabeza de la Secretaría Distrital de Educación, en coordinación con la Secretaría Distrital de Salud, Secretaría de Cultura, Recreación y Deporte, implementarán estrategias innovadoras a fin de promover la generación de escuelas emocionalmente inteligentes que respondan a las necesidades afectivas no atendidas por la educación tradicional, para el fortalecimiento de la promoción y prevención de la salud mental en las Instituciones educativas del Distrito Capital del ámbito escolar.</w:t>
      </w:r>
    </w:p>
    <w:p w:rsidR="002F3A39" w:rsidRDefault="003B638A">
      <w:pPr>
        <w:pBdr>
          <w:top w:val="nil"/>
          <w:left w:val="nil"/>
          <w:bottom w:val="nil"/>
          <w:right w:val="nil"/>
          <w:between w:val="nil"/>
        </w:pBdr>
        <w:spacing w:after="160"/>
        <w:jc w:val="both"/>
        <w:rPr>
          <w:rFonts w:ascii="Calibri" w:eastAsia="Calibri" w:hAnsi="Calibri" w:cs="Calibri"/>
          <w:sz w:val="20"/>
          <w:szCs w:val="20"/>
        </w:rPr>
      </w:pPr>
      <w:bookmarkStart w:id="6" w:name="_heading=h.tyjcwt" w:colFirst="0" w:colLast="0"/>
      <w:bookmarkEnd w:id="6"/>
      <w:r>
        <w:rPr>
          <w:rFonts w:ascii="Calibri" w:eastAsia="Calibri" w:hAnsi="Calibri" w:cs="Calibri"/>
          <w:b/>
          <w:sz w:val="20"/>
          <w:szCs w:val="20"/>
        </w:rPr>
        <w:t>ARTÍCULO 3º-</w:t>
      </w:r>
      <w:r>
        <w:rPr>
          <w:rFonts w:ascii="Calibri" w:eastAsia="Calibri" w:hAnsi="Calibri" w:cs="Calibri"/>
          <w:sz w:val="20"/>
          <w:szCs w:val="20"/>
        </w:rPr>
        <w:t xml:space="preserve"> </w:t>
      </w:r>
      <w:r>
        <w:rPr>
          <w:rFonts w:ascii="Calibri" w:eastAsia="Calibri" w:hAnsi="Calibri" w:cs="Calibri"/>
          <w:b/>
          <w:sz w:val="20"/>
          <w:szCs w:val="20"/>
        </w:rPr>
        <w:t>Implementar la cátedra de educación emocional</w:t>
      </w:r>
      <w:r>
        <w:rPr>
          <w:rFonts w:ascii="Calibri" w:eastAsia="Calibri" w:hAnsi="Calibri" w:cs="Calibri"/>
          <w:sz w:val="20"/>
          <w:szCs w:val="20"/>
        </w:rPr>
        <w:t xml:space="preserve"> en los niveles preescolar, básica y media, en concordancia con el proyecto educativo institucional PEI de todas las instituciones educativas del Distrito Capital, a fin de potenciar las habilidades para la vida y competencias emocionales, así como la prevención de conductas de riesgo y problemas que afectan el bienestar emocional y el desarrollo integral de la niñez, infancia y adolescencia. </w:t>
      </w:r>
    </w:p>
    <w:p w:rsidR="002F3A39" w:rsidRDefault="003B638A">
      <w:pPr>
        <w:pBdr>
          <w:top w:val="nil"/>
          <w:left w:val="nil"/>
          <w:bottom w:val="nil"/>
          <w:right w:val="nil"/>
          <w:between w:val="nil"/>
        </w:pBdr>
        <w:spacing w:before="280" w:after="280"/>
        <w:jc w:val="both"/>
        <w:rPr>
          <w:rFonts w:ascii="Calibri" w:eastAsia="Calibri" w:hAnsi="Calibri" w:cs="Calibri"/>
          <w:sz w:val="20"/>
          <w:szCs w:val="20"/>
        </w:rPr>
      </w:pPr>
      <w:bookmarkStart w:id="7" w:name="_heading=h.3dy6vkm" w:colFirst="0" w:colLast="0"/>
      <w:bookmarkEnd w:id="7"/>
      <w:r>
        <w:rPr>
          <w:rFonts w:ascii="Calibri" w:eastAsia="Calibri" w:hAnsi="Calibri" w:cs="Calibri"/>
          <w:b/>
          <w:sz w:val="20"/>
          <w:szCs w:val="20"/>
        </w:rPr>
        <w:t>ARTÍCULO 4º</w:t>
      </w:r>
      <w:r>
        <w:rPr>
          <w:rFonts w:ascii="Calibri" w:eastAsia="Calibri" w:hAnsi="Calibri" w:cs="Calibri"/>
          <w:sz w:val="20"/>
          <w:szCs w:val="20"/>
        </w:rPr>
        <w:t xml:space="preserve"> </w:t>
      </w:r>
      <w:r>
        <w:rPr>
          <w:rFonts w:ascii="Calibri" w:eastAsia="Calibri" w:hAnsi="Calibri" w:cs="Calibri"/>
          <w:b/>
          <w:sz w:val="20"/>
          <w:szCs w:val="20"/>
          <w:highlight w:val="white"/>
        </w:rPr>
        <w:t xml:space="preserve">Implementar programas integrales grupales a nivel escolar </w:t>
      </w:r>
      <w:r>
        <w:rPr>
          <w:rFonts w:ascii="Calibri" w:eastAsia="Calibri" w:hAnsi="Calibri" w:cs="Calibri"/>
          <w:sz w:val="20"/>
          <w:szCs w:val="20"/>
        </w:rPr>
        <w:t xml:space="preserve">para incidir en estados saludables a nivel corporal, emocional y mental, que incorporen actividades entre otros: </w:t>
      </w:r>
    </w:p>
    <w:p w:rsidR="002F3A39" w:rsidRDefault="003B638A">
      <w:pPr>
        <w:numPr>
          <w:ilvl w:val="0"/>
          <w:numId w:val="4"/>
        </w:numPr>
        <w:pBdr>
          <w:top w:val="nil"/>
          <w:left w:val="nil"/>
          <w:bottom w:val="nil"/>
          <w:right w:val="nil"/>
          <w:between w:val="nil"/>
        </w:pBdr>
        <w:spacing w:before="280"/>
        <w:jc w:val="both"/>
        <w:rPr>
          <w:rFonts w:ascii="Calibri" w:eastAsia="Calibri" w:hAnsi="Calibri" w:cs="Calibri"/>
          <w:sz w:val="20"/>
          <w:szCs w:val="20"/>
          <w:highlight w:val="white"/>
        </w:rPr>
      </w:pPr>
      <w:r>
        <w:rPr>
          <w:rFonts w:ascii="Calibri" w:eastAsia="Calibri" w:hAnsi="Calibri" w:cs="Calibri"/>
          <w:sz w:val="20"/>
          <w:szCs w:val="20"/>
        </w:rPr>
        <w:t xml:space="preserve">Biodanza (que potencian la creatividad, afectividad, vitalidad y trascendencia); </w:t>
      </w:r>
      <w:r>
        <w:rPr>
          <w:rFonts w:ascii="Calibri" w:eastAsia="Calibri" w:hAnsi="Calibri" w:cs="Calibri"/>
          <w:sz w:val="20"/>
          <w:szCs w:val="20"/>
          <w:highlight w:val="white"/>
        </w:rPr>
        <w:t>Habilidades de afrontamiento (promueve el desarrollo de herramientas personales para asumir, responder y solucionar situaciones que inciden en la salud mental, emocional y física de las personas)</w:t>
      </w:r>
    </w:p>
    <w:p w:rsidR="002F3A39" w:rsidRDefault="003B638A">
      <w:pPr>
        <w:numPr>
          <w:ilvl w:val="0"/>
          <w:numId w:val="4"/>
        </w:numPr>
        <w:pBdr>
          <w:top w:val="nil"/>
          <w:left w:val="nil"/>
          <w:bottom w:val="nil"/>
          <w:right w:val="nil"/>
          <w:between w:val="nil"/>
        </w:pBdr>
        <w:jc w:val="both"/>
        <w:rPr>
          <w:rFonts w:ascii="Calibri" w:eastAsia="Calibri" w:hAnsi="Calibri" w:cs="Calibri"/>
          <w:sz w:val="20"/>
          <w:szCs w:val="20"/>
          <w:highlight w:val="white"/>
        </w:rPr>
      </w:pPr>
      <w:r>
        <w:rPr>
          <w:rFonts w:ascii="Calibri" w:eastAsia="Calibri" w:hAnsi="Calibri" w:cs="Calibri"/>
          <w:sz w:val="20"/>
          <w:szCs w:val="20"/>
          <w:highlight w:val="white"/>
        </w:rPr>
        <w:t xml:space="preserve">Mindfulness (metodología que promueve la meditación como herramienta para el descanso mental y corporal de acuerdo con los principios de conexión con el presente y aceptación de sí mismo); Educación y conciencia (espacios para realizar reflexiones personales sobre la forma en que se han apropiado los aprendizajes de las situaciones y experiencias personales, familiares y colectivas. </w:t>
      </w:r>
    </w:p>
    <w:p w:rsidR="002F3A39" w:rsidRDefault="003B638A">
      <w:pPr>
        <w:numPr>
          <w:ilvl w:val="0"/>
          <w:numId w:val="4"/>
        </w:numPr>
        <w:pBdr>
          <w:top w:val="nil"/>
          <w:left w:val="nil"/>
          <w:bottom w:val="nil"/>
          <w:right w:val="nil"/>
          <w:between w:val="nil"/>
        </w:pBdr>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Recoge los fundamentos de la meta cognición y construye herramientas personales en la transformación de hábitos no saludables); </w:t>
      </w:r>
    </w:p>
    <w:p w:rsidR="002F3A39" w:rsidRDefault="003B638A">
      <w:pPr>
        <w:numPr>
          <w:ilvl w:val="0"/>
          <w:numId w:val="4"/>
        </w:numPr>
        <w:pBdr>
          <w:top w:val="nil"/>
          <w:left w:val="nil"/>
          <w:bottom w:val="nil"/>
          <w:right w:val="nil"/>
          <w:between w:val="nil"/>
        </w:pBdr>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Salud física; Salud emocional (espacios para conocer prácticas de autorregulación emocional que permitan el equilibrio entre la mente y los factores externos del entorno que inciden en las emociones); Salud mental (espacios para revisar el estado personal de la salud mental y las necesidades individuales que resulten en planes de acción concretos para disminuir el efecto negativo de las experiencias); </w:t>
      </w:r>
    </w:p>
    <w:p w:rsidR="002F3A39" w:rsidRDefault="003B638A">
      <w:pPr>
        <w:numPr>
          <w:ilvl w:val="0"/>
          <w:numId w:val="4"/>
        </w:numPr>
        <w:pBdr>
          <w:top w:val="nil"/>
          <w:left w:val="nil"/>
          <w:bottom w:val="nil"/>
          <w:right w:val="nil"/>
          <w:between w:val="nil"/>
        </w:pBdr>
        <w:jc w:val="both"/>
        <w:rPr>
          <w:rFonts w:ascii="Calibri" w:eastAsia="Calibri" w:hAnsi="Calibri" w:cs="Calibri"/>
          <w:sz w:val="20"/>
          <w:szCs w:val="20"/>
          <w:highlight w:val="white"/>
        </w:rPr>
      </w:pPr>
      <w:r>
        <w:rPr>
          <w:rFonts w:ascii="Calibri" w:eastAsia="Calibri" w:hAnsi="Calibri" w:cs="Calibri"/>
          <w:sz w:val="20"/>
          <w:szCs w:val="20"/>
          <w:highlight w:val="white"/>
        </w:rPr>
        <w:t xml:space="preserve">Autocuidado (encuentros para identificar prácticas de autocuidado aprendidas y otras personales que se han incorporado en el tiempo); </w:t>
      </w:r>
    </w:p>
    <w:p w:rsidR="002F3A39" w:rsidRDefault="003B638A">
      <w:pPr>
        <w:numPr>
          <w:ilvl w:val="0"/>
          <w:numId w:val="4"/>
        </w:numPr>
        <w:pBdr>
          <w:top w:val="nil"/>
          <w:left w:val="nil"/>
          <w:bottom w:val="nil"/>
          <w:right w:val="nil"/>
          <w:between w:val="nil"/>
        </w:pBdr>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Expresión creativa (comprende la activación de procesos artísticos relacionados con la iniciativa e innovación. Potencia habilidades en la expresión espontánea, que contribuyen a expresar emociones a través del arte en función de la salud emocional); </w:t>
      </w:r>
    </w:p>
    <w:p w:rsidR="002F3A39" w:rsidRDefault="003B638A">
      <w:pPr>
        <w:numPr>
          <w:ilvl w:val="0"/>
          <w:numId w:val="4"/>
        </w:numPr>
        <w:pBdr>
          <w:top w:val="nil"/>
          <w:left w:val="nil"/>
          <w:bottom w:val="nil"/>
          <w:right w:val="nil"/>
          <w:between w:val="nil"/>
        </w:pBdr>
        <w:spacing w:after="280"/>
        <w:jc w:val="both"/>
        <w:rPr>
          <w:rFonts w:ascii="Calibri" w:eastAsia="Calibri" w:hAnsi="Calibri" w:cs="Calibri"/>
          <w:sz w:val="20"/>
          <w:szCs w:val="20"/>
          <w:highlight w:val="white"/>
        </w:rPr>
      </w:pPr>
      <w:r>
        <w:rPr>
          <w:rFonts w:ascii="Calibri" w:eastAsia="Calibri" w:hAnsi="Calibri" w:cs="Calibri"/>
          <w:sz w:val="20"/>
          <w:szCs w:val="20"/>
          <w:highlight w:val="white"/>
        </w:rPr>
        <w:t>Grupo de apoyo (recoge experiencias, emociones y sentimientos relacionados con situaciones específicas tales como: problemáticas familiares, factores de riesgo, exposición al peligro, entre otros, con el fin de dar herramientas para el manejo de las mismas escuchando a otros).</w:t>
      </w:r>
    </w:p>
    <w:p w:rsidR="002F3A39" w:rsidRDefault="003B638A">
      <w:pPr>
        <w:pBdr>
          <w:top w:val="nil"/>
          <w:left w:val="nil"/>
          <w:bottom w:val="nil"/>
          <w:right w:val="nil"/>
          <w:between w:val="nil"/>
        </w:pBdr>
        <w:spacing w:after="160"/>
        <w:jc w:val="both"/>
        <w:rPr>
          <w:rFonts w:ascii="Calibri" w:eastAsia="Calibri" w:hAnsi="Calibri" w:cs="Calibri"/>
          <w:sz w:val="20"/>
          <w:szCs w:val="20"/>
        </w:rPr>
      </w:pPr>
      <w:bookmarkStart w:id="8" w:name="_heading=h.1t3h5sf" w:colFirst="0" w:colLast="0"/>
      <w:bookmarkEnd w:id="8"/>
      <w:r>
        <w:rPr>
          <w:rFonts w:ascii="Calibri" w:eastAsia="Calibri" w:hAnsi="Calibri" w:cs="Calibri"/>
          <w:b/>
          <w:sz w:val="20"/>
          <w:szCs w:val="20"/>
        </w:rPr>
        <w:t>ARTÍCULO 5º</w:t>
      </w:r>
      <w:r>
        <w:rPr>
          <w:rFonts w:ascii="Calibri" w:eastAsia="Calibri" w:hAnsi="Calibri" w:cs="Calibri"/>
          <w:sz w:val="20"/>
          <w:szCs w:val="20"/>
        </w:rPr>
        <w:t xml:space="preserve"> </w:t>
      </w:r>
      <w:r>
        <w:rPr>
          <w:rFonts w:ascii="Calibri" w:eastAsia="Calibri" w:hAnsi="Calibri" w:cs="Calibri"/>
          <w:b/>
          <w:sz w:val="20"/>
          <w:szCs w:val="20"/>
          <w:highlight w:val="white"/>
        </w:rPr>
        <w:t>En Coordinación con Canal Capital</w:t>
      </w:r>
      <w:r>
        <w:rPr>
          <w:rFonts w:ascii="Calibri" w:eastAsia="Calibri" w:hAnsi="Calibri" w:cs="Calibri"/>
          <w:b/>
          <w:sz w:val="20"/>
          <w:szCs w:val="20"/>
        </w:rPr>
        <w:t xml:space="preserve"> fortalecer las campañas en torno a la salud mental</w:t>
      </w:r>
      <w:r>
        <w:rPr>
          <w:rFonts w:ascii="Calibri" w:eastAsia="Calibri" w:hAnsi="Calibri" w:cs="Calibri"/>
          <w:sz w:val="20"/>
          <w:szCs w:val="20"/>
        </w:rPr>
        <w:t xml:space="preserve"> </w:t>
      </w:r>
      <w:r>
        <w:rPr>
          <w:rFonts w:ascii="Calibri" w:eastAsia="Calibri" w:hAnsi="Calibri" w:cs="Calibri"/>
          <w:b/>
          <w:sz w:val="20"/>
          <w:szCs w:val="20"/>
        </w:rPr>
        <w:t>de los niños, niñas y adolescentes,</w:t>
      </w:r>
      <w:r>
        <w:rPr>
          <w:rFonts w:ascii="Calibri" w:eastAsia="Calibri" w:hAnsi="Calibri" w:cs="Calibri"/>
          <w:sz w:val="20"/>
          <w:szCs w:val="20"/>
        </w:rPr>
        <w:t xml:space="preserve"> a fin de reducir el estigma, el auto-estigma y la discriminación en salud mental, así como difundir la ruta de atención en salud mental acorde a las situaciones identificadas a nivel escolar. </w:t>
      </w:r>
    </w:p>
    <w:p w:rsidR="002F3A39" w:rsidRDefault="003B638A">
      <w:pPr>
        <w:pBdr>
          <w:top w:val="nil"/>
          <w:left w:val="nil"/>
          <w:bottom w:val="nil"/>
          <w:right w:val="nil"/>
          <w:between w:val="nil"/>
        </w:pBdr>
        <w:spacing w:after="160"/>
        <w:jc w:val="both"/>
        <w:rPr>
          <w:rFonts w:ascii="Calibri" w:eastAsia="Calibri" w:hAnsi="Calibri" w:cs="Calibri"/>
          <w:sz w:val="20"/>
          <w:szCs w:val="20"/>
        </w:rPr>
      </w:pPr>
      <w:bookmarkStart w:id="9" w:name="_heading=h.4d34og8" w:colFirst="0" w:colLast="0"/>
      <w:bookmarkEnd w:id="9"/>
      <w:r>
        <w:rPr>
          <w:rFonts w:ascii="Calibri" w:eastAsia="Calibri" w:hAnsi="Calibri" w:cs="Calibri"/>
          <w:b/>
          <w:sz w:val="20"/>
          <w:szCs w:val="20"/>
        </w:rPr>
        <w:t>ARTÍCULO 6º Fortalecer las competencias del equipo docente de orientación escolar y la comunidad educativa</w:t>
      </w:r>
      <w:r>
        <w:rPr>
          <w:rFonts w:ascii="Calibri" w:eastAsia="Calibri" w:hAnsi="Calibri" w:cs="Calibri"/>
          <w:sz w:val="20"/>
          <w:szCs w:val="20"/>
        </w:rPr>
        <w:t xml:space="preserve">. Desarrollar un proceso de estudio de cargar de los equipos de docentes orientadores para establecer las funciones y atención necesaria de este equipo en proceso de prevención y atención de salud mental escolar.  </w:t>
      </w:r>
    </w:p>
    <w:p w:rsidR="002F3A39" w:rsidRDefault="003B638A">
      <w:pPr>
        <w:pBdr>
          <w:top w:val="nil"/>
          <w:left w:val="nil"/>
          <w:bottom w:val="nil"/>
          <w:right w:val="nil"/>
          <w:between w:val="nil"/>
        </w:pBdr>
        <w:spacing w:after="160"/>
        <w:jc w:val="both"/>
        <w:rPr>
          <w:rFonts w:ascii="Calibri" w:eastAsia="Calibri" w:hAnsi="Calibri" w:cs="Calibri"/>
          <w:sz w:val="20"/>
          <w:szCs w:val="20"/>
        </w:rPr>
      </w:pPr>
      <w:r>
        <w:rPr>
          <w:rFonts w:ascii="Calibri" w:eastAsia="Calibri" w:hAnsi="Calibri" w:cs="Calibri"/>
          <w:b/>
          <w:sz w:val="20"/>
          <w:szCs w:val="20"/>
        </w:rPr>
        <w:t>ARTÍCULO 7°</w:t>
      </w:r>
      <w:r>
        <w:rPr>
          <w:rFonts w:ascii="Calibri" w:eastAsia="Calibri" w:hAnsi="Calibri" w:cs="Calibri"/>
          <w:sz w:val="20"/>
          <w:szCs w:val="20"/>
        </w:rPr>
        <w:t xml:space="preserve"> </w:t>
      </w:r>
      <w:r>
        <w:rPr>
          <w:rFonts w:ascii="Calibri" w:eastAsia="Calibri" w:hAnsi="Calibri" w:cs="Calibri"/>
          <w:b/>
          <w:sz w:val="20"/>
          <w:szCs w:val="20"/>
        </w:rPr>
        <w:t>Implementar en el 100% de los colegios del Distrito Capital espacios de escucha y de acompañamiento psicosocial a la población escolar</w:t>
      </w:r>
      <w:r>
        <w:rPr>
          <w:rFonts w:ascii="Calibri" w:eastAsia="Calibri" w:hAnsi="Calibri" w:cs="Calibri"/>
          <w:sz w:val="20"/>
          <w:szCs w:val="20"/>
        </w:rPr>
        <w:t xml:space="preserve">, en articulación con la Secretaría de Salud, empleando herramientas psicopedagógicas con el equipo de docentes orientadores escolares se construirán las estrategias para implementar en el marco de las mesas locales de orientación escolar. </w:t>
      </w:r>
    </w:p>
    <w:p w:rsidR="002F3A39" w:rsidRDefault="003B638A">
      <w:pPr>
        <w:pBdr>
          <w:top w:val="nil"/>
          <w:left w:val="nil"/>
          <w:bottom w:val="nil"/>
          <w:right w:val="nil"/>
          <w:between w:val="nil"/>
        </w:pBdr>
        <w:spacing w:after="160"/>
        <w:jc w:val="both"/>
        <w:rPr>
          <w:rFonts w:ascii="Calibri" w:eastAsia="Calibri" w:hAnsi="Calibri" w:cs="Calibri"/>
          <w:sz w:val="20"/>
          <w:szCs w:val="20"/>
        </w:rPr>
      </w:pPr>
      <w:r>
        <w:rPr>
          <w:rFonts w:ascii="Calibri" w:eastAsia="Calibri" w:hAnsi="Calibri" w:cs="Calibri"/>
          <w:b/>
          <w:sz w:val="20"/>
          <w:szCs w:val="20"/>
        </w:rPr>
        <w:t xml:space="preserve">ARTÍCULO 8° Inclusión de las estrategias de salud mental escolar en los presupuestos participativos. </w:t>
      </w:r>
      <w:r>
        <w:rPr>
          <w:rFonts w:ascii="Calibri" w:eastAsia="Calibri" w:hAnsi="Calibri" w:cs="Calibri"/>
          <w:sz w:val="20"/>
          <w:szCs w:val="20"/>
        </w:rPr>
        <w:t>Las mesas locales de salud mental escolar desarrollarán una propuesta en concertación con la Secretaría Distrital de Educación, la Secretaría Distrital de Salud y La Alcaldía Local Correspondientes para implementar una propuesta concertada en las metas de salud mental que impacte de manera positiva a la comunidad académica en los colegios distritales y privados de Bogotá.</w:t>
      </w:r>
      <w:r>
        <w:rPr>
          <w:rFonts w:ascii="Calibri" w:eastAsia="Calibri" w:hAnsi="Calibri" w:cs="Calibri"/>
          <w:b/>
          <w:sz w:val="20"/>
          <w:szCs w:val="20"/>
        </w:rPr>
        <w:t xml:space="preserve"> </w:t>
      </w:r>
    </w:p>
    <w:p w:rsidR="002F3A39" w:rsidRDefault="003B638A">
      <w:pPr>
        <w:jc w:val="both"/>
        <w:rPr>
          <w:rFonts w:ascii="Calibri" w:eastAsia="Calibri" w:hAnsi="Calibri" w:cs="Calibri"/>
          <w:sz w:val="20"/>
          <w:szCs w:val="20"/>
        </w:rPr>
      </w:pPr>
      <w:r>
        <w:rPr>
          <w:rFonts w:ascii="Calibri" w:eastAsia="Calibri" w:hAnsi="Calibri" w:cs="Calibri"/>
          <w:b/>
          <w:sz w:val="20"/>
          <w:szCs w:val="20"/>
        </w:rPr>
        <w:t xml:space="preserve">ARTÍCULO 8° VIGENCIA. </w:t>
      </w:r>
      <w:r>
        <w:rPr>
          <w:rFonts w:ascii="Calibri" w:eastAsia="Calibri" w:hAnsi="Calibri" w:cs="Calibri"/>
          <w:sz w:val="20"/>
          <w:szCs w:val="20"/>
        </w:rPr>
        <w:t>El presente Acuerdo rige a partir de la fecha de su publicación.</w:t>
      </w:r>
    </w:p>
    <w:sectPr w:rsidR="002F3A39">
      <w:headerReference w:type="default" r:id="rId15"/>
      <w:footerReference w:type="even" r:id="rId16"/>
      <w:footerReference w:type="default" r:id="rId17"/>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638A" w:rsidRDefault="003B638A">
      <w:r>
        <w:separator/>
      </w:r>
    </w:p>
  </w:endnote>
  <w:endnote w:type="continuationSeparator" w:id="0">
    <w:p w:rsidR="003B638A" w:rsidRDefault="003B6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MV Bol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3A39" w:rsidRDefault="003B638A">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2F3A39" w:rsidRDefault="002F3A39">
    <w:pPr>
      <w:pBdr>
        <w:top w:val="nil"/>
        <w:left w:val="nil"/>
        <w:bottom w:val="nil"/>
        <w:right w:val="nil"/>
        <w:between w:val="nil"/>
      </w:pBdr>
      <w:tabs>
        <w:tab w:val="center" w:pos="4252"/>
        <w:tab w:val="right" w:pos="8504"/>
      </w:tabs>
      <w:ind w:right="360"/>
    </w:pPr>
  </w:p>
  <w:p w:rsidR="002F3A39" w:rsidRDefault="002F3A39"/>
  <w:p w:rsidR="002F3A39" w:rsidRDefault="002F3A39"/>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3A39" w:rsidRDefault="002F3A39">
    <w:pPr>
      <w:pBdr>
        <w:top w:val="nil"/>
        <w:left w:val="nil"/>
        <w:bottom w:val="nil"/>
        <w:right w:val="nil"/>
        <w:between w:val="nil"/>
      </w:pBdr>
      <w:tabs>
        <w:tab w:val="center" w:pos="4252"/>
        <w:tab w:val="right" w:pos="8504"/>
      </w:tabs>
      <w:jc w:val="center"/>
      <w:rPr>
        <w:sz w:val="18"/>
        <w:szCs w:val="18"/>
      </w:rPr>
    </w:pPr>
  </w:p>
  <w:p w:rsidR="002F3A39" w:rsidRDefault="002F3A39">
    <w:pPr>
      <w:pBdr>
        <w:top w:val="nil"/>
        <w:left w:val="nil"/>
        <w:bottom w:val="nil"/>
        <w:right w:val="nil"/>
        <w:between w:val="nil"/>
      </w:pBdr>
      <w:tabs>
        <w:tab w:val="center" w:pos="4252"/>
        <w:tab w:val="right" w:pos="8504"/>
      </w:tabs>
      <w:jc w:val="center"/>
      <w:rPr>
        <w:sz w:val="18"/>
        <w:szCs w:val="18"/>
      </w:rPr>
    </w:pPr>
  </w:p>
  <w:p w:rsidR="002F3A39" w:rsidRDefault="002F3A39">
    <w:pPr>
      <w:pBdr>
        <w:top w:val="nil"/>
        <w:left w:val="nil"/>
        <w:bottom w:val="nil"/>
        <w:right w:val="nil"/>
        <w:between w:val="nil"/>
      </w:pBdr>
      <w:tabs>
        <w:tab w:val="center" w:pos="4252"/>
        <w:tab w:val="right" w:pos="8504"/>
      </w:tabs>
      <w:jc w:val="center"/>
      <w:rPr>
        <w:sz w:val="16"/>
        <w:szCs w:val="16"/>
      </w:rPr>
    </w:pPr>
  </w:p>
  <w:p w:rsidR="002F3A39" w:rsidRDefault="002F3A39">
    <w:pPr>
      <w:pBdr>
        <w:top w:val="nil"/>
        <w:left w:val="nil"/>
        <w:bottom w:val="nil"/>
        <w:right w:val="nil"/>
        <w:between w:val="nil"/>
      </w:pBdr>
      <w:tabs>
        <w:tab w:val="center" w:pos="4252"/>
        <w:tab w:val="right" w:pos="8504"/>
      </w:tabs>
      <w:rPr>
        <w:sz w:val="16"/>
        <w:szCs w:val="16"/>
      </w:rPr>
    </w:pPr>
  </w:p>
  <w:p w:rsidR="002F3A39" w:rsidRDefault="002F3A39">
    <w:pPr>
      <w:pBdr>
        <w:top w:val="nil"/>
        <w:left w:val="nil"/>
        <w:bottom w:val="nil"/>
        <w:right w:val="nil"/>
        <w:between w:val="nil"/>
      </w:pBdr>
      <w:tabs>
        <w:tab w:val="center" w:pos="4252"/>
        <w:tab w:val="right" w:pos="8504"/>
      </w:tabs>
      <w:rPr>
        <w:sz w:val="16"/>
        <w:szCs w:val="16"/>
      </w:rPr>
    </w:pPr>
  </w:p>
  <w:p w:rsidR="002F3A39" w:rsidRDefault="002F3A39">
    <w:pPr>
      <w:jc w:val="right"/>
      <w:rPr>
        <w:b/>
        <w:sz w:val="18"/>
        <w:szCs w:val="1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638A" w:rsidRDefault="003B638A">
      <w:r>
        <w:separator/>
      </w:r>
    </w:p>
  </w:footnote>
  <w:footnote w:type="continuationSeparator" w:id="0">
    <w:p w:rsidR="003B638A" w:rsidRDefault="003B638A">
      <w:r>
        <w:continuationSeparator/>
      </w:r>
    </w:p>
  </w:footnote>
  <w:footnote w:id="1">
    <w:p w:rsidR="002F3A39" w:rsidRDefault="003B638A">
      <w:pPr>
        <w:pBdr>
          <w:top w:val="nil"/>
          <w:left w:val="nil"/>
          <w:bottom w:val="nil"/>
          <w:right w:val="nil"/>
          <w:between w:val="nil"/>
        </w:pBdr>
        <w:rPr>
          <w:sz w:val="20"/>
          <w:szCs w:val="20"/>
        </w:rPr>
      </w:pPr>
      <w:r>
        <w:rPr>
          <w:vertAlign w:val="superscript"/>
        </w:rPr>
        <w:footnoteRef/>
      </w:r>
      <w:r>
        <w:rPr>
          <w:sz w:val="20"/>
          <w:szCs w:val="20"/>
        </w:rPr>
        <w:t xml:space="preserve"> </w:t>
      </w:r>
    </w:p>
  </w:footnote>
  <w:footnote w:id="2">
    <w:p w:rsidR="002F3A39" w:rsidRDefault="003B638A">
      <w:pPr>
        <w:pBdr>
          <w:top w:val="nil"/>
          <w:left w:val="nil"/>
          <w:bottom w:val="nil"/>
          <w:right w:val="nil"/>
          <w:between w:val="nil"/>
        </w:pBdr>
        <w:rPr>
          <w:sz w:val="20"/>
          <w:szCs w:val="20"/>
        </w:rPr>
      </w:pPr>
      <w:r>
        <w:rPr>
          <w:vertAlign w:val="superscript"/>
        </w:rPr>
        <w:footnoteRef/>
      </w:r>
      <w:r>
        <w:rPr>
          <w:sz w:val="20"/>
          <w:szCs w:val="20"/>
        </w:rPr>
        <w:t xml:space="preserve"> </w:t>
      </w:r>
    </w:p>
  </w:footnote>
  <w:footnote w:id="3">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4">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5">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6">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7">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8">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9">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 w:id="10">
    <w:p w:rsidR="002F3A39" w:rsidRDefault="003B638A">
      <w:pPr>
        <w:pBdr>
          <w:top w:val="nil"/>
          <w:left w:val="nil"/>
          <w:bottom w:val="nil"/>
          <w:right w:val="nil"/>
          <w:between w:val="nil"/>
        </w:pBdr>
        <w:spacing w:after="200" w:line="276" w:lineRule="auto"/>
        <w:rPr>
          <w:rFonts w:ascii="Calibri" w:eastAsia="Calibri" w:hAnsi="Calibri" w:cs="Calibri"/>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F3A39" w:rsidRDefault="002F3A39">
    <w:pPr>
      <w:widowControl w:val="0"/>
      <w:pBdr>
        <w:top w:val="nil"/>
        <w:left w:val="nil"/>
        <w:bottom w:val="nil"/>
        <w:right w:val="nil"/>
        <w:between w:val="nil"/>
      </w:pBdr>
      <w:spacing w:line="276" w:lineRule="auto"/>
      <w:rPr>
        <w:sz w:val="20"/>
        <w:szCs w:val="20"/>
      </w:rPr>
    </w:pPr>
  </w:p>
  <w:tbl>
    <w:tblPr>
      <w:tblStyle w:val="a"/>
      <w:tblW w:w="8830" w:type="dxa"/>
      <w:tblInd w:w="0" w:type="dxa"/>
      <w:tblLayout w:type="fixed"/>
      <w:tblLook w:val="0000" w:firstRow="0" w:lastRow="0" w:firstColumn="0" w:lastColumn="0" w:noHBand="0" w:noVBand="0"/>
    </w:tblPr>
    <w:tblGrid>
      <w:gridCol w:w="2361"/>
      <w:gridCol w:w="4235"/>
      <w:gridCol w:w="2234"/>
    </w:tblGrid>
    <w:tr w:rsidR="002F3A39">
      <w:trPr>
        <w:trHeight w:val="454"/>
      </w:trPr>
      <w:tc>
        <w:tcPr>
          <w:tcW w:w="2361" w:type="dxa"/>
          <w:vMerge w:val="restart"/>
          <w:tcBorders>
            <w:top w:val="single" w:sz="4" w:space="0" w:color="000000"/>
            <w:left w:val="single" w:sz="4" w:space="0" w:color="000000"/>
            <w:right w:val="single" w:sz="4" w:space="0" w:color="000000"/>
          </w:tcBorders>
          <w:vAlign w:val="center"/>
        </w:tcPr>
        <w:p w:rsidR="002F3A39" w:rsidRDefault="002F3A39">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rsidR="002F3A39" w:rsidRDefault="003B638A">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2F3A39" w:rsidRDefault="003B638A">
          <w:pPr>
            <w:rPr>
              <w:sz w:val="16"/>
              <w:szCs w:val="16"/>
            </w:rPr>
          </w:pPr>
          <w:r>
            <w:rPr>
              <w:sz w:val="16"/>
              <w:szCs w:val="16"/>
            </w:rPr>
            <w:t>CÓDIGO</w:t>
          </w:r>
          <w:r>
            <w:rPr>
              <w:color w:val="3366FF"/>
              <w:sz w:val="16"/>
              <w:szCs w:val="16"/>
            </w:rPr>
            <w:t xml:space="preserve">: </w:t>
          </w:r>
          <w:r>
            <w:rPr>
              <w:sz w:val="16"/>
              <w:szCs w:val="16"/>
            </w:rPr>
            <w:t>GNV-FO-001</w:t>
          </w:r>
        </w:p>
      </w:tc>
    </w:tr>
    <w:tr w:rsidR="002F3A39">
      <w:trPr>
        <w:trHeight w:val="454"/>
      </w:trPr>
      <w:tc>
        <w:tcPr>
          <w:tcW w:w="2361" w:type="dxa"/>
          <w:vMerge/>
          <w:tcBorders>
            <w:top w:val="single" w:sz="4" w:space="0" w:color="000000"/>
            <w:left w:val="single" w:sz="4" w:space="0" w:color="000000"/>
            <w:right w:val="single" w:sz="4" w:space="0" w:color="000000"/>
          </w:tcBorders>
          <w:vAlign w:val="center"/>
        </w:tcPr>
        <w:p w:rsidR="002F3A39" w:rsidRDefault="002F3A39">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2F3A39" w:rsidRDefault="003B638A">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rsidR="002F3A39" w:rsidRDefault="003B638A">
          <w:pPr>
            <w:rPr>
              <w:sz w:val="16"/>
              <w:szCs w:val="16"/>
            </w:rPr>
          </w:pPr>
          <w:r>
            <w:rPr>
              <w:sz w:val="16"/>
              <w:szCs w:val="16"/>
            </w:rPr>
            <w:t>VERSIÓN:  02</w:t>
          </w:r>
        </w:p>
      </w:tc>
    </w:tr>
    <w:tr w:rsidR="002F3A39">
      <w:trPr>
        <w:trHeight w:val="454"/>
      </w:trPr>
      <w:tc>
        <w:tcPr>
          <w:tcW w:w="2361" w:type="dxa"/>
          <w:vMerge/>
          <w:tcBorders>
            <w:top w:val="single" w:sz="4" w:space="0" w:color="000000"/>
            <w:left w:val="single" w:sz="4" w:space="0" w:color="000000"/>
            <w:right w:val="single" w:sz="4" w:space="0" w:color="000000"/>
          </w:tcBorders>
          <w:vAlign w:val="center"/>
        </w:tcPr>
        <w:p w:rsidR="002F3A39" w:rsidRDefault="002F3A39">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2F3A39" w:rsidRDefault="002F3A39">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2F3A39" w:rsidRDefault="003B638A">
          <w:pPr>
            <w:rPr>
              <w:sz w:val="16"/>
              <w:szCs w:val="16"/>
            </w:rPr>
          </w:pPr>
          <w:r>
            <w:rPr>
              <w:sz w:val="16"/>
              <w:szCs w:val="16"/>
            </w:rPr>
            <w:t>FECHA: 14-Nov-2019</w:t>
          </w:r>
        </w:p>
      </w:tc>
    </w:tr>
  </w:tbl>
  <w:p w:rsidR="002F3A39" w:rsidRDefault="003B638A">
    <w:pPr>
      <w:pBdr>
        <w:top w:val="nil"/>
        <w:left w:val="nil"/>
        <w:bottom w:val="nil"/>
        <w:right w:val="nil"/>
        <w:between w:val="nil"/>
      </w:pBdr>
      <w:tabs>
        <w:tab w:val="center" w:pos="4252"/>
        <w:tab w:val="right" w:pos="8504"/>
      </w:tabs>
    </w:pPr>
    <w:r>
      <w:rPr>
        <w:noProof/>
        <w:lang w:val="es-419" w:eastAsia="es-419"/>
      </w:rPr>
      <w:drawing>
        <wp:anchor distT="0" distB="0" distL="0" distR="0" simplePos="0" relativeHeight="251658240" behindDoc="1" locked="0" layoutInCell="1" hidden="0" allowOverlap="1">
          <wp:simplePos x="0" y="0"/>
          <wp:positionH relativeFrom="column">
            <wp:posOffset>441325</wp:posOffset>
          </wp:positionH>
          <wp:positionV relativeFrom="paragraph">
            <wp:posOffset>-890268</wp:posOffset>
          </wp:positionV>
          <wp:extent cx="752475" cy="885825"/>
          <wp:effectExtent l="0" t="0" r="0" b="0"/>
          <wp:wrapNone/>
          <wp:docPr id="20873387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rsidR="002F3A39" w:rsidRDefault="002F3A39"/>
  <w:p w:rsidR="002F3A39" w:rsidRDefault="002F3A3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CC5283"/>
    <w:multiLevelType w:val="multilevel"/>
    <w:tmpl w:val="59FA627C"/>
    <w:lvl w:ilvl="0">
      <w:start w:val="1"/>
      <w:numFmt w:val="bullet"/>
      <w:lvlText w:val="●"/>
      <w:lvlJc w:val="left"/>
      <w:pPr>
        <w:ind w:left="776" w:hanging="360"/>
      </w:pPr>
      <w:rPr>
        <w:rFonts w:ascii="Noto Sans Symbols" w:eastAsia="Noto Sans Symbols" w:hAnsi="Noto Sans Symbols" w:cs="Noto Sans Symbols"/>
      </w:rPr>
    </w:lvl>
    <w:lvl w:ilvl="1">
      <w:start w:val="1"/>
      <w:numFmt w:val="bullet"/>
      <w:lvlText w:val="o"/>
      <w:lvlJc w:val="left"/>
      <w:pPr>
        <w:ind w:left="1496" w:hanging="360"/>
      </w:pPr>
      <w:rPr>
        <w:rFonts w:ascii="Courier New" w:eastAsia="Courier New" w:hAnsi="Courier New" w:cs="Courier New"/>
      </w:rPr>
    </w:lvl>
    <w:lvl w:ilvl="2">
      <w:start w:val="1"/>
      <w:numFmt w:val="bullet"/>
      <w:lvlText w:val="▪"/>
      <w:lvlJc w:val="left"/>
      <w:pPr>
        <w:ind w:left="2216" w:hanging="360"/>
      </w:pPr>
      <w:rPr>
        <w:rFonts w:ascii="Noto Sans Symbols" w:eastAsia="Noto Sans Symbols" w:hAnsi="Noto Sans Symbols" w:cs="Noto Sans Symbols"/>
      </w:rPr>
    </w:lvl>
    <w:lvl w:ilvl="3">
      <w:start w:val="1"/>
      <w:numFmt w:val="bullet"/>
      <w:lvlText w:val="●"/>
      <w:lvlJc w:val="left"/>
      <w:pPr>
        <w:ind w:left="2936" w:hanging="360"/>
      </w:pPr>
      <w:rPr>
        <w:rFonts w:ascii="Noto Sans Symbols" w:eastAsia="Noto Sans Symbols" w:hAnsi="Noto Sans Symbols" w:cs="Noto Sans Symbols"/>
      </w:rPr>
    </w:lvl>
    <w:lvl w:ilvl="4">
      <w:start w:val="1"/>
      <w:numFmt w:val="bullet"/>
      <w:lvlText w:val="o"/>
      <w:lvlJc w:val="left"/>
      <w:pPr>
        <w:ind w:left="3656" w:hanging="360"/>
      </w:pPr>
      <w:rPr>
        <w:rFonts w:ascii="Courier New" w:eastAsia="Courier New" w:hAnsi="Courier New" w:cs="Courier New"/>
      </w:rPr>
    </w:lvl>
    <w:lvl w:ilvl="5">
      <w:start w:val="1"/>
      <w:numFmt w:val="bullet"/>
      <w:lvlText w:val="▪"/>
      <w:lvlJc w:val="left"/>
      <w:pPr>
        <w:ind w:left="4376" w:hanging="360"/>
      </w:pPr>
      <w:rPr>
        <w:rFonts w:ascii="Noto Sans Symbols" w:eastAsia="Noto Sans Symbols" w:hAnsi="Noto Sans Symbols" w:cs="Noto Sans Symbols"/>
      </w:rPr>
    </w:lvl>
    <w:lvl w:ilvl="6">
      <w:start w:val="1"/>
      <w:numFmt w:val="bullet"/>
      <w:lvlText w:val="●"/>
      <w:lvlJc w:val="left"/>
      <w:pPr>
        <w:ind w:left="5096" w:hanging="360"/>
      </w:pPr>
      <w:rPr>
        <w:rFonts w:ascii="Noto Sans Symbols" w:eastAsia="Noto Sans Symbols" w:hAnsi="Noto Sans Symbols" w:cs="Noto Sans Symbols"/>
      </w:rPr>
    </w:lvl>
    <w:lvl w:ilvl="7">
      <w:start w:val="1"/>
      <w:numFmt w:val="bullet"/>
      <w:lvlText w:val="o"/>
      <w:lvlJc w:val="left"/>
      <w:pPr>
        <w:ind w:left="5816" w:hanging="360"/>
      </w:pPr>
      <w:rPr>
        <w:rFonts w:ascii="Courier New" w:eastAsia="Courier New" w:hAnsi="Courier New" w:cs="Courier New"/>
      </w:rPr>
    </w:lvl>
    <w:lvl w:ilvl="8">
      <w:start w:val="1"/>
      <w:numFmt w:val="bullet"/>
      <w:lvlText w:val="▪"/>
      <w:lvlJc w:val="left"/>
      <w:pPr>
        <w:ind w:left="6536" w:hanging="360"/>
      </w:pPr>
      <w:rPr>
        <w:rFonts w:ascii="Noto Sans Symbols" w:eastAsia="Noto Sans Symbols" w:hAnsi="Noto Sans Symbols" w:cs="Noto Sans Symbols"/>
      </w:rPr>
    </w:lvl>
  </w:abstractNum>
  <w:abstractNum w:abstractNumId="1" w15:restartNumberingAfterBreak="0">
    <w:nsid w:val="40246ECE"/>
    <w:multiLevelType w:val="multilevel"/>
    <w:tmpl w:val="39DE6C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4966652"/>
    <w:multiLevelType w:val="multilevel"/>
    <w:tmpl w:val="62A0E8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71AD3765"/>
    <w:multiLevelType w:val="multilevel"/>
    <w:tmpl w:val="A42A4BB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3A39"/>
    <w:rsid w:val="002908FD"/>
    <w:rsid w:val="002F3A39"/>
    <w:rsid w:val="003B638A"/>
    <w:rsid w:val="00787013"/>
    <w:rsid w:val="00961D95"/>
    <w:rsid w:val="009C14FB"/>
    <w:rsid w:val="00A563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68C0FF5-8D63-4D01-AB8E-202CDCB23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8CA"/>
    <w:rPr>
      <w:color w:val="000000"/>
    </w:rPr>
  </w:style>
  <w:style w:type="paragraph" w:styleId="Ttulo1">
    <w:name w:val="heading 1"/>
    <w:basedOn w:val="Normal"/>
    <w:next w:val="Normal"/>
    <w:link w:val="Ttulo1Car"/>
    <w:uiPriority w:val="9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9"/>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semiHidden/>
    <w:unhideWhenUsed/>
    <w:qFormat/>
    <w:locked/>
    <w:rsid w:val="00CC7759"/>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9"/>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semiHidden/>
    <w:rsid w:val="00AE7E3B"/>
    <w:rPr>
      <w:sz w:val="20"/>
    </w:rPr>
  </w:style>
  <w:style w:type="character" w:customStyle="1" w:styleId="TextocomentarioCar">
    <w:name w:val="Texto comentario Car"/>
    <w:basedOn w:val="Fuentedeprrafopredeter"/>
    <w:link w:val="Textocomentario"/>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Ha,Resume Title,LISTA,List1,Bullet List,FooterText,numbered,List Paragraph1,Paragraphe de liste1,lp1,HOJA,Colorful List Accent 1,Colorful List - Accent 11,titulo 3,Colorful List - Accent 111,Bullets,Párrafo de lista2"/>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basedOn w:val="Normal"/>
    <w:link w:val="TextonotapieCar"/>
    <w:semiHidden/>
    <w:rsid w:val="00830106"/>
    <w:pPr>
      <w:spacing w:after="200" w:line="276" w:lineRule="auto"/>
    </w:pPr>
    <w:rPr>
      <w:rFonts w:ascii="Calibri" w:hAnsi="Calibri"/>
      <w:color w:val="auto"/>
      <w:sz w:val="20"/>
    </w:rPr>
  </w:style>
  <w:style w:type="character" w:customStyle="1" w:styleId="TextonotapieCar">
    <w:name w:val="Texto nota pie Car"/>
    <w:basedOn w:val="Fuentedeprrafopredeter"/>
    <w:link w:val="Textonotapie"/>
    <w:semiHidden/>
    <w:rsid w:val="00830106"/>
    <w:rPr>
      <w:rFonts w:ascii="Calibri" w:hAnsi="Calibri"/>
      <w:lang w:val="es-CO"/>
    </w:rPr>
  </w:style>
  <w:style w:type="paragraph" w:styleId="NormalWeb">
    <w:name w:val="Normal (Web)"/>
    <w:aliases w:val="Car Car Car Car Car Car Car Car Car Car,Car Car Car Car Car Car Car Car Car Car Car Car Car,Car2,Normal (Web) Car Car"/>
    <w:basedOn w:val="Normal"/>
    <w:link w:val="NormalWebCar"/>
    <w:uiPriority w:val="99"/>
    <w:qFormat/>
    <w:rsid w:val="00830106"/>
    <w:pPr>
      <w:spacing w:before="100" w:beforeAutospacing="1" w:after="100" w:afterAutospacing="1" w:line="259" w:lineRule="auto"/>
    </w:pPr>
    <w:rPr>
      <w:rFonts w:ascii="Times New Roman" w:hAnsi="Times New Roman"/>
      <w:color w:val="auto"/>
    </w:rPr>
  </w:style>
  <w:style w:type="character" w:styleId="nfasis">
    <w:name w:val="Emphasis"/>
    <w:basedOn w:val="Fuentedeprrafopredeter"/>
    <w:uiPriority w:val="20"/>
    <w:qFormat/>
    <w:locked/>
    <w:rsid w:val="00830106"/>
    <w:rPr>
      <w:i/>
      <w:iCs/>
    </w:rPr>
  </w:style>
  <w:style w:type="character" w:styleId="Refdenotaalpie">
    <w:name w:val="footnote reference"/>
    <w:uiPriority w:val="99"/>
    <w:semiHidden/>
    <w:rsid w:val="00830106"/>
    <w:rPr>
      <w:vertAlign w:val="superscript"/>
    </w:rPr>
  </w:style>
  <w:style w:type="paragraph" w:customStyle="1" w:styleId="Prrafodelista1">
    <w:name w:val="Párrafo de lista1"/>
    <w:basedOn w:val="Normal"/>
    <w:qFormat/>
    <w:rsid w:val="00830106"/>
    <w:pPr>
      <w:spacing w:after="160" w:line="259" w:lineRule="auto"/>
      <w:ind w:left="708"/>
    </w:pPr>
  </w:style>
  <w:style w:type="paragraph" w:customStyle="1" w:styleId="Default">
    <w:name w:val="Default"/>
    <w:rsid w:val="00830106"/>
    <w:pPr>
      <w:autoSpaceDE w:val="0"/>
      <w:autoSpaceDN w:val="0"/>
      <w:adjustRightInd w:val="0"/>
      <w:spacing w:after="160" w:line="259" w:lineRule="auto"/>
    </w:pPr>
    <w:rPr>
      <w:rFonts w:eastAsia="Calibri"/>
      <w:color w:val="000000"/>
    </w:rPr>
  </w:style>
  <w:style w:type="character" w:customStyle="1" w:styleId="Ttulo3Car">
    <w:name w:val="Título 3 Car"/>
    <w:basedOn w:val="Fuentedeprrafopredeter"/>
    <w:link w:val="Ttulo3"/>
    <w:semiHidden/>
    <w:rsid w:val="00CC7759"/>
    <w:rPr>
      <w:rFonts w:asciiTheme="majorHAnsi" w:eastAsiaTheme="majorEastAsia" w:hAnsiTheme="majorHAnsi" w:cstheme="majorBidi"/>
      <w:color w:val="243F60" w:themeColor="accent1" w:themeShade="7F"/>
      <w:sz w:val="24"/>
      <w:szCs w:val="24"/>
    </w:rPr>
  </w:style>
  <w:style w:type="character" w:customStyle="1" w:styleId="apple-converted-space">
    <w:name w:val="apple-converted-space"/>
    <w:rsid w:val="00CC7759"/>
  </w:style>
  <w:style w:type="paragraph" w:customStyle="1" w:styleId="Memorandopara">
    <w:name w:val="Memorando para"/>
    <w:basedOn w:val="Normal"/>
    <w:qFormat/>
    <w:rsid w:val="00B15A1B"/>
    <w:pPr>
      <w:tabs>
        <w:tab w:val="left" w:pos="1418"/>
      </w:tabs>
      <w:spacing w:line="260" w:lineRule="exact"/>
    </w:pPr>
    <w:rPr>
      <w:sz w:val="22"/>
      <w:szCs w:val="22"/>
    </w:rPr>
  </w:style>
  <w:style w:type="paragraph" w:customStyle="1" w:styleId="Memorandoanexos">
    <w:name w:val="Memorando anexos"/>
    <w:basedOn w:val="Memorandopara"/>
    <w:qFormat/>
    <w:rsid w:val="00B15A1B"/>
    <w:pPr>
      <w:spacing w:line="200" w:lineRule="exact"/>
    </w:pPr>
    <w:rPr>
      <w:rFonts w:eastAsia="Calibri"/>
      <w:sz w:val="16"/>
      <w:lang w:eastAsia="en-US"/>
    </w:rPr>
  </w:style>
  <w:style w:type="character" w:styleId="Textoennegrita">
    <w:name w:val="Strong"/>
    <w:basedOn w:val="Fuentedeprrafopredeter"/>
    <w:uiPriority w:val="22"/>
    <w:qFormat/>
    <w:locked/>
    <w:rsid w:val="00073050"/>
    <w:rPr>
      <w:b/>
      <w:bCs/>
    </w:rPr>
  </w:style>
  <w:style w:type="character" w:styleId="CitaHTML">
    <w:name w:val="HTML Cite"/>
    <w:basedOn w:val="Fuentedeprrafopredeter"/>
    <w:uiPriority w:val="99"/>
    <w:semiHidden/>
    <w:unhideWhenUsed/>
    <w:rsid w:val="00073050"/>
    <w:rPr>
      <w:i/>
      <w:iCs/>
    </w:rPr>
  </w:style>
  <w:style w:type="character" w:customStyle="1" w:styleId="PrrafodelistaCar">
    <w:name w:val="Párrafo de lista Car"/>
    <w:aliases w:val="Ha Car,Resume Title Car,LISTA Car,List1 Car,Bullet List Car,FooterText Car,numbered Car,List Paragraph1 Car,Paragraphe de liste1 Car,lp1 Car,HOJA Car,Colorful List Accent 1 Car,Colorful List - Accent 11 Car,titulo 3 Car,Bullets Car"/>
    <w:link w:val="Prrafodelista"/>
    <w:uiPriority w:val="34"/>
    <w:qFormat/>
    <w:locked/>
    <w:rsid w:val="001E4304"/>
    <w:rPr>
      <w:rFonts w:ascii="Arial" w:hAnsi="Arial"/>
      <w:color w:val="000000"/>
      <w:sz w:val="24"/>
    </w:rPr>
  </w:style>
  <w:style w:type="character" w:customStyle="1" w:styleId="NormalWebCar">
    <w:name w:val="Normal (Web) Car"/>
    <w:aliases w:val="Car Car Car Car Car Car Car Car Car Car Car,Car Car Car Car Car Car Car Car Car Car Car Car Car Car,Car2 Car,Normal (Web) Car Car Car"/>
    <w:link w:val="NormalWeb"/>
    <w:uiPriority w:val="99"/>
    <w:locked/>
    <w:rsid w:val="001E4304"/>
    <w:rPr>
      <w:sz w:val="24"/>
      <w:szCs w:val="24"/>
      <w:lang w:val="es-CO" w:eastAsia="es-CO"/>
    </w:rPr>
  </w:style>
  <w:style w:type="character" w:customStyle="1" w:styleId="Mencinsinresolver1">
    <w:name w:val="Mención sin resolver1"/>
    <w:basedOn w:val="Fuentedeprrafopredeter"/>
    <w:uiPriority w:val="99"/>
    <w:semiHidden/>
    <w:unhideWhenUsed/>
    <w:rsid w:val="00124309"/>
    <w:rPr>
      <w:color w:val="605E5C"/>
      <w:shd w:val="clear" w:color="auto" w:fill="E1DFDD"/>
    </w:rPr>
  </w:style>
  <w:style w:type="paragraph" w:styleId="Sinespaciado">
    <w:name w:val="No Spacing"/>
    <w:basedOn w:val="Normal"/>
    <w:uiPriority w:val="1"/>
    <w:qFormat/>
    <w:rsid w:val="001D141E"/>
    <w:pPr>
      <w:spacing w:before="100" w:beforeAutospacing="1" w:after="100" w:afterAutospacing="1"/>
    </w:pPr>
    <w:rPr>
      <w:rFonts w:ascii="Times New Roman" w:hAnsi="Times New Roman"/>
      <w:color w:val="auto"/>
    </w:rPr>
  </w:style>
  <w:style w:type="character" w:customStyle="1" w:styleId="Mencinsinresolver2">
    <w:name w:val="Mención sin resolver2"/>
    <w:basedOn w:val="Fuentedeprrafopredeter"/>
    <w:uiPriority w:val="99"/>
    <w:semiHidden/>
    <w:unhideWhenUsed/>
    <w:rsid w:val="0093290C"/>
    <w:rPr>
      <w:color w:val="605E5C"/>
      <w:shd w:val="clear" w:color="auto" w:fill="E1DFDD"/>
    </w:rPr>
  </w:style>
  <w:style w:type="character" w:customStyle="1" w:styleId="bluettooltip">
    <w:name w:val="bluet_tooltip"/>
    <w:basedOn w:val="Fuentedeprrafopredeter"/>
    <w:rsid w:val="000E1098"/>
  </w:style>
  <w:style w:type="paragraph" w:customStyle="1" w:styleId="centrado">
    <w:name w:val="centrado"/>
    <w:basedOn w:val="Normal"/>
    <w:rsid w:val="00BB33B9"/>
    <w:pPr>
      <w:spacing w:before="100" w:beforeAutospacing="1" w:after="100" w:afterAutospacing="1"/>
    </w:pPr>
    <w:rPr>
      <w:rFonts w:ascii="Times New Roman" w:hAnsi="Times New Roman"/>
      <w:color w:val="auto"/>
    </w:rPr>
  </w:style>
  <w:style w:type="character" w:customStyle="1" w:styleId="baj">
    <w:name w:val="b_aj"/>
    <w:basedOn w:val="Fuentedeprrafopredeter"/>
    <w:rsid w:val="00BB33B9"/>
  </w:style>
  <w:style w:type="paragraph" w:customStyle="1" w:styleId="wp-caption-text">
    <w:name w:val="wp-caption-text"/>
    <w:basedOn w:val="Normal"/>
    <w:rsid w:val="00665E0C"/>
    <w:pPr>
      <w:spacing w:before="100" w:beforeAutospacing="1" w:after="100" w:afterAutospacing="1"/>
    </w:pPr>
    <w:rPr>
      <w:rFonts w:ascii="Times New Roman" w:hAnsi="Times New Roman"/>
      <w:color w:val="auto"/>
    </w:rPr>
  </w:style>
  <w:style w:type="paragraph" w:customStyle="1" w:styleId="contenido">
    <w:name w:val="contenido"/>
    <w:basedOn w:val="Normal"/>
    <w:rsid w:val="001F7C5A"/>
    <w:pPr>
      <w:spacing w:before="100" w:beforeAutospacing="1" w:after="100" w:afterAutospacing="1"/>
    </w:pPr>
    <w:rPr>
      <w:rFonts w:ascii="Times New Roman" w:hAnsi="Times New Roman"/>
      <w:color w:val="auto"/>
    </w:rPr>
  </w:style>
  <w:style w:type="character" w:customStyle="1" w:styleId="Mencinsinresolver3">
    <w:name w:val="Mención sin resolver3"/>
    <w:basedOn w:val="Fuentedeprrafopredeter"/>
    <w:uiPriority w:val="99"/>
    <w:semiHidden/>
    <w:unhideWhenUsed/>
    <w:rsid w:val="00176FA7"/>
    <w:rPr>
      <w:color w:val="605E5C"/>
      <w:shd w:val="clear" w:color="auto" w:fill="E1DFDD"/>
    </w:rPr>
  </w:style>
  <w:style w:type="paragraph" w:styleId="Bibliografa">
    <w:name w:val="Bibliography"/>
    <w:basedOn w:val="Normal"/>
    <w:next w:val="Normal"/>
    <w:uiPriority w:val="37"/>
    <w:unhideWhenUsed/>
    <w:rsid w:val="007960FF"/>
  </w:style>
  <w:style w:type="paragraph" w:styleId="Textonotaalfinal">
    <w:name w:val="endnote text"/>
    <w:basedOn w:val="Normal"/>
    <w:link w:val="TextonotaalfinalCar"/>
    <w:uiPriority w:val="99"/>
    <w:semiHidden/>
    <w:unhideWhenUsed/>
    <w:rsid w:val="002F4D72"/>
    <w:rPr>
      <w:sz w:val="20"/>
    </w:rPr>
  </w:style>
  <w:style w:type="character" w:customStyle="1" w:styleId="TextonotaalfinalCar">
    <w:name w:val="Texto nota al final Car"/>
    <w:basedOn w:val="Fuentedeprrafopredeter"/>
    <w:link w:val="Textonotaalfinal"/>
    <w:uiPriority w:val="99"/>
    <w:semiHidden/>
    <w:rsid w:val="002F4D72"/>
    <w:rPr>
      <w:rFonts w:ascii="Arial" w:hAnsi="Arial"/>
      <w:color w:val="000000"/>
    </w:rPr>
  </w:style>
  <w:style w:type="character" w:styleId="Refdenotaalfinal">
    <w:name w:val="endnote reference"/>
    <w:basedOn w:val="Fuentedeprrafopredeter"/>
    <w:uiPriority w:val="99"/>
    <w:semiHidden/>
    <w:unhideWhenUsed/>
    <w:rsid w:val="002F4D72"/>
    <w:rPr>
      <w:vertAlign w:val="superscript"/>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saludata.saludcapital.gov.co/osb/index.php/datos-de-salud/salud-mental/suicidio/"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9u1qPEUtfVusuTmdd28T5QbAhA==">CgMxLjAyCGguZ2pkZ3hzMgloLjMwajB6bGwyCWguMWZvYjl0ZTIJaC4zem55c2g3MgloLjJldDkycDAyCGgudHlqY3d0MgloLjNkeTZ2a20yCWguMXQzaDVzZjIJaC40ZDM0b2c4OAByITFLNE9BeFlZSXZtRDJkaDJueWREWEVxY0xROE92Zm9PZw==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6115</Words>
  <Characters>33637</Characters>
  <Application>Microsoft Office Word</Application>
  <DocSecurity>0</DocSecurity>
  <Lines>280</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ANA YOLANDA DURAN RODRIGUEZ</cp:lastModifiedBy>
  <cp:revision>2</cp:revision>
  <cp:lastPrinted>2025-01-20T16:47:00Z</cp:lastPrinted>
  <dcterms:created xsi:type="dcterms:W3CDTF">2025-04-27T17:15:00Z</dcterms:created>
  <dcterms:modified xsi:type="dcterms:W3CDTF">2025-04-27T17:15:00Z</dcterms:modified>
</cp:coreProperties>
</file>